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C71EB" w14:textId="77777777" w:rsidR="003339EA" w:rsidRPr="00434D4C" w:rsidRDefault="00AB2073" w:rsidP="00434D4C">
      <w:pPr>
        <w:jc w:val="right"/>
      </w:pPr>
      <w:r>
        <w:rPr>
          <w:b/>
        </w:rPr>
        <w:t>Attachment 2</w:t>
      </w:r>
    </w:p>
    <w:p w14:paraId="55CB29D3" w14:textId="77777777" w:rsidR="003339EA" w:rsidRDefault="003339EA">
      <w:pPr>
        <w:jc w:val="right"/>
        <w:rPr>
          <w:b/>
        </w:rPr>
      </w:pPr>
    </w:p>
    <w:p w14:paraId="333DA906" w14:textId="15A89426" w:rsidR="00FB3496" w:rsidRPr="00FB3496" w:rsidRDefault="00FB3496" w:rsidP="00FB3496">
      <w:pPr>
        <w:rPr>
          <w:bCs/>
        </w:rPr>
      </w:pPr>
      <w:r>
        <w:rPr>
          <w:bCs/>
        </w:rPr>
        <w:t xml:space="preserve">This plan was revised September 20, </w:t>
      </w:r>
      <w:proofErr w:type="gramStart"/>
      <w:r>
        <w:rPr>
          <w:bCs/>
        </w:rPr>
        <w:t>2022</w:t>
      </w:r>
      <w:proofErr w:type="gramEnd"/>
      <w:r>
        <w:rPr>
          <w:bCs/>
        </w:rPr>
        <w:t xml:space="preserve"> in response to Arkansas Legislative Committee’s recommendation of providing staff members with additional pay.  Plans essentially remain the same, however funding has been cut from systemic procedures, learning acceleration, and technology needs in order to fund staff bonuses.</w:t>
      </w:r>
    </w:p>
    <w:p w14:paraId="4D9EF1D2" w14:textId="77777777" w:rsidR="00FB3496" w:rsidRDefault="00FB3496">
      <w:pPr>
        <w:jc w:val="center"/>
        <w:rPr>
          <w:b/>
        </w:rPr>
      </w:pPr>
    </w:p>
    <w:p w14:paraId="6E105B3E" w14:textId="5F8A0998" w:rsidR="003339EA" w:rsidRDefault="00AB2073">
      <w:pPr>
        <w:jc w:val="center"/>
        <w:rPr>
          <w:b/>
        </w:rPr>
      </w:pPr>
      <w:r>
        <w:rPr>
          <w:b/>
        </w:rPr>
        <w:t xml:space="preserve">American Rescue Plan Act Elementary and Secondary School Emergency Relief Fund </w:t>
      </w:r>
    </w:p>
    <w:p w14:paraId="04894054" w14:textId="77777777" w:rsidR="003339EA" w:rsidRDefault="00AB2073">
      <w:pPr>
        <w:jc w:val="center"/>
        <w:rPr>
          <w:b/>
        </w:rPr>
      </w:pPr>
      <w:r>
        <w:rPr>
          <w:b/>
        </w:rPr>
        <w:t>(ARP ESSER)</w:t>
      </w:r>
    </w:p>
    <w:p w14:paraId="20759216" w14:textId="77777777" w:rsidR="003339EA" w:rsidRDefault="00AB2073">
      <w:pPr>
        <w:jc w:val="center"/>
        <w:rPr>
          <w:b/>
        </w:rPr>
      </w:pPr>
      <w:r>
        <w:rPr>
          <w:b/>
        </w:rPr>
        <w:t>LEA Plan for Use of ARP ESSER Funds, ARP Section 2001(e)</w:t>
      </w:r>
    </w:p>
    <w:p w14:paraId="597218FA" w14:textId="77777777" w:rsidR="003339EA" w:rsidRDefault="003339EA"/>
    <w:p w14:paraId="09351780" w14:textId="77777777" w:rsidR="003339EA" w:rsidRDefault="00AB2073">
      <w:pPr>
        <w:rPr>
          <w:b/>
        </w:rPr>
      </w:pPr>
      <w:r>
        <w:rPr>
          <w:b/>
        </w:rPr>
        <w:t>District Information</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3339EA" w14:paraId="0F4B770D" w14:textId="77777777">
        <w:tc>
          <w:tcPr>
            <w:tcW w:w="4680" w:type="dxa"/>
            <w:shd w:val="clear" w:color="auto" w:fill="auto"/>
            <w:tcMar>
              <w:top w:w="100" w:type="dxa"/>
              <w:left w:w="100" w:type="dxa"/>
              <w:bottom w:w="100" w:type="dxa"/>
              <w:right w:w="100" w:type="dxa"/>
            </w:tcMar>
          </w:tcPr>
          <w:p w14:paraId="54D33375" w14:textId="77777777" w:rsidR="003339EA" w:rsidRDefault="00AB2073">
            <w:pPr>
              <w:widowControl w:val="0"/>
              <w:spacing w:line="240" w:lineRule="auto"/>
            </w:pPr>
            <w:r>
              <w:t>District Name</w:t>
            </w:r>
          </w:p>
        </w:tc>
        <w:tc>
          <w:tcPr>
            <w:tcW w:w="4680" w:type="dxa"/>
            <w:shd w:val="clear" w:color="auto" w:fill="auto"/>
            <w:tcMar>
              <w:top w:w="100" w:type="dxa"/>
              <w:left w:w="100" w:type="dxa"/>
              <w:bottom w:w="100" w:type="dxa"/>
              <w:right w:w="100" w:type="dxa"/>
            </w:tcMar>
          </w:tcPr>
          <w:p w14:paraId="456A04EB" w14:textId="04520D33" w:rsidR="003339EA" w:rsidRDefault="00AC32E8">
            <w:pPr>
              <w:widowControl w:val="0"/>
              <w:spacing w:line="240" w:lineRule="auto"/>
            </w:pPr>
            <w:r>
              <w:t>Imboden Area Charter School</w:t>
            </w:r>
          </w:p>
        </w:tc>
      </w:tr>
      <w:tr w:rsidR="003339EA" w14:paraId="06E3CF56" w14:textId="77777777">
        <w:tc>
          <w:tcPr>
            <w:tcW w:w="4680" w:type="dxa"/>
            <w:shd w:val="clear" w:color="auto" w:fill="auto"/>
            <w:tcMar>
              <w:top w:w="100" w:type="dxa"/>
              <w:left w:w="100" w:type="dxa"/>
              <w:bottom w:w="100" w:type="dxa"/>
              <w:right w:w="100" w:type="dxa"/>
            </w:tcMar>
          </w:tcPr>
          <w:p w14:paraId="5D22F2BB" w14:textId="77777777" w:rsidR="003339EA" w:rsidRDefault="00AB2073">
            <w:pPr>
              <w:widowControl w:val="0"/>
              <w:spacing w:line="240" w:lineRule="auto"/>
            </w:pPr>
            <w:r>
              <w:t>District LEA#</w:t>
            </w:r>
          </w:p>
        </w:tc>
        <w:tc>
          <w:tcPr>
            <w:tcW w:w="4680" w:type="dxa"/>
            <w:shd w:val="clear" w:color="auto" w:fill="auto"/>
            <w:tcMar>
              <w:top w:w="100" w:type="dxa"/>
              <w:left w:w="100" w:type="dxa"/>
              <w:bottom w:w="100" w:type="dxa"/>
              <w:right w:w="100" w:type="dxa"/>
            </w:tcMar>
          </w:tcPr>
          <w:p w14:paraId="20C6D4F0" w14:textId="1C2D5892" w:rsidR="003339EA" w:rsidRDefault="00AC32E8">
            <w:pPr>
              <w:widowControl w:val="0"/>
              <w:spacing w:line="240" w:lineRule="auto"/>
            </w:pPr>
            <w:r>
              <w:t>3840700</w:t>
            </w:r>
          </w:p>
        </w:tc>
      </w:tr>
      <w:tr w:rsidR="003339EA" w14:paraId="652B0D66" w14:textId="77777777">
        <w:tc>
          <w:tcPr>
            <w:tcW w:w="4680" w:type="dxa"/>
            <w:shd w:val="clear" w:color="auto" w:fill="auto"/>
            <w:tcMar>
              <w:top w:w="100" w:type="dxa"/>
              <w:left w:w="100" w:type="dxa"/>
              <w:bottom w:w="100" w:type="dxa"/>
              <w:right w:w="100" w:type="dxa"/>
            </w:tcMar>
          </w:tcPr>
          <w:p w14:paraId="6C95C90B" w14:textId="77777777" w:rsidR="003339EA" w:rsidRDefault="00AB2073">
            <w:pPr>
              <w:widowControl w:val="0"/>
              <w:spacing w:line="240" w:lineRule="auto"/>
            </w:pPr>
            <w:r>
              <w:t>City</w:t>
            </w:r>
          </w:p>
        </w:tc>
        <w:tc>
          <w:tcPr>
            <w:tcW w:w="4680" w:type="dxa"/>
            <w:shd w:val="clear" w:color="auto" w:fill="auto"/>
            <w:tcMar>
              <w:top w:w="100" w:type="dxa"/>
              <w:left w:w="100" w:type="dxa"/>
              <w:bottom w:w="100" w:type="dxa"/>
              <w:right w:w="100" w:type="dxa"/>
            </w:tcMar>
          </w:tcPr>
          <w:p w14:paraId="494E8AAE" w14:textId="3DB3C3C3" w:rsidR="003339EA" w:rsidRDefault="00AC32E8">
            <w:pPr>
              <w:widowControl w:val="0"/>
              <w:spacing w:line="240" w:lineRule="auto"/>
            </w:pPr>
            <w:r>
              <w:t>Imboden</w:t>
            </w:r>
          </w:p>
        </w:tc>
      </w:tr>
      <w:tr w:rsidR="003339EA" w14:paraId="2EEECA65" w14:textId="77777777">
        <w:tc>
          <w:tcPr>
            <w:tcW w:w="4680" w:type="dxa"/>
            <w:shd w:val="clear" w:color="auto" w:fill="auto"/>
            <w:tcMar>
              <w:top w:w="100" w:type="dxa"/>
              <w:left w:w="100" w:type="dxa"/>
              <w:bottom w:w="100" w:type="dxa"/>
              <w:right w:w="100" w:type="dxa"/>
            </w:tcMar>
          </w:tcPr>
          <w:p w14:paraId="3FADFA3D" w14:textId="77777777" w:rsidR="003339EA" w:rsidRDefault="00AB2073">
            <w:pPr>
              <w:widowControl w:val="0"/>
              <w:spacing w:line="240" w:lineRule="auto"/>
            </w:pPr>
            <w:r>
              <w:t>Superintendent Name</w:t>
            </w:r>
          </w:p>
        </w:tc>
        <w:tc>
          <w:tcPr>
            <w:tcW w:w="4680" w:type="dxa"/>
            <w:shd w:val="clear" w:color="auto" w:fill="auto"/>
            <w:tcMar>
              <w:top w:w="100" w:type="dxa"/>
              <w:left w:w="100" w:type="dxa"/>
              <w:bottom w:w="100" w:type="dxa"/>
              <w:right w:w="100" w:type="dxa"/>
            </w:tcMar>
          </w:tcPr>
          <w:p w14:paraId="1065DD7D" w14:textId="770EA37D" w:rsidR="003339EA" w:rsidRDefault="00AC32E8">
            <w:pPr>
              <w:widowControl w:val="0"/>
              <w:spacing w:line="240" w:lineRule="auto"/>
            </w:pPr>
            <w:r>
              <w:t>Matthew Wells</w:t>
            </w:r>
          </w:p>
        </w:tc>
      </w:tr>
      <w:tr w:rsidR="003339EA" w14:paraId="233A8D1E" w14:textId="77777777">
        <w:tc>
          <w:tcPr>
            <w:tcW w:w="4680" w:type="dxa"/>
            <w:shd w:val="clear" w:color="auto" w:fill="auto"/>
            <w:tcMar>
              <w:top w:w="100" w:type="dxa"/>
              <w:left w:w="100" w:type="dxa"/>
              <w:bottom w:w="100" w:type="dxa"/>
              <w:right w:w="100" w:type="dxa"/>
            </w:tcMar>
          </w:tcPr>
          <w:p w14:paraId="19D75132" w14:textId="77777777" w:rsidR="003339EA" w:rsidRDefault="00AB2073">
            <w:pPr>
              <w:widowControl w:val="0"/>
              <w:spacing w:line="240" w:lineRule="auto"/>
            </w:pPr>
            <w:r>
              <w:t>URL access to the LEA Plan for Use of ARP ESSER Funds posted on the district website</w:t>
            </w:r>
          </w:p>
        </w:tc>
        <w:tc>
          <w:tcPr>
            <w:tcW w:w="4680" w:type="dxa"/>
            <w:shd w:val="clear" w:color="auto" w:fill="auto"/>
            <w:tcMar>
              <w:top w:w="100" w:type="dxa"/>
              <w:left w:w="100" w:type="dxa"/>
              <w:bottom w:w="100" w:type="dxa"/>
              <w:right w:w="100" w:type="dxa"/>
            </w:tcMar>
          </w:tcPr>
          <w:p w14:paraId="7452B018" w14:textId="60128D12" w:rsidR="003339EA" w:rsidRDefault="00AC32E8">
            <w:pPr>
              <w:widowControl w:val="0"/>
              <w:spacing w:line="240" w:lineRule="auto"/>
            </w:pPr>
            <w:r w:rsidRPr="00AC32E8">
              <w:t>https://www.imbodencharter.com/esser-funds/</w:t>
            </w:r>
          </w:p>
        </w:tc>
      </w:tr>
      <w:tr w:rsidR="003339EA" w14:paraId="52C63D74" w14:textId="77777777">
        <w:tc>
          <w:tcPr>
            <w:tcW w:w="4680" w:type="dxa"/>
            <w:shd w:val="clear" w:color="auto" w:fill="auto"/>
            <w:tcMar>
              <w:top w:w="100" w:type="dxa"/>
              <w:left w:w="100" w:type="dxa"/>
              <w:bottom w:w="100" w:type="dxa"/>
              <w:right w:w="100" w:type="dxa"/>
            </w:tcMar>
          </w:tcPr>
          <w:p w14:paraId="1844903E" w14:textId="77777777" w:rsidR="003339EA" w:rsidRDefault="00AB2073">
            <w:pPr>
              <w:widowControl w:val="0"/>
              <w:spacing w:line="240" w:lineRule="auto"/>
            </w:pPr>
            <w:r>
              <w:t>Date posted</w:t>
            </w:r>
          </w:p>
        </w:tc>
        <w:tc>
          <w:tcPr>
            <w:tcW w:w="4680" w:type="dxa"/>
            <w:shd w:val="clear" w:color="auto" w:fill="auto"/>
            <w:tcMar>
              <w:top w:w="100" w:type="dxa"/>
              <w:left w:w="100" w:type="dxa"/>
              <w:bottom w:w="100" w:type="dxa"/>
              <w:right w:w="100" w:type="dxa"/>
            </w:tcMar>
          </w:tcPr>
          <w:p w14:paraId="195E53EC" w14:textId="46A4593D" w:rsidR="003339EA" w:rsidRDefault="00AC32E8">
            <w:pPr>
              <w:widowControl w:val="0"/>
              <w:spacing w:line="240" w:lineRule="auto"/>
            </w:pPr>
            <w:r>
              <w:t>7/29/21</w:t>
            </w:r>
            <w:r w:rsidR="00FB3496">
              <w:t xml:space="preserve"> Revised 9/20/22</w:t>
            </w:r>
          </w:p>
        </w:tc>
      </w:tr>
    </w:tbl>
    <w:p w14:paraId="1A30783D" w14:textId="77777777" w:rsidR="003339EA" w:rsidRDefault="003339EA">
      <w:pPr>
        <w:rPr>
          <w:b/>
          <w:sz w:val="24"/>
          <w:szCs w:val="24"/>
        </w:rPr>
      </w:pPr>
    </w:p>
    <w:p w14:paraId="5081819E" w14:textId="77777777" w:rsidR="003339EA" w:rsidRDefault="00AB2073">
      <w:pPr>
        <w:rPr>
          <w:b/>
          <w:sz w:val="24"/>
          <w:szCs w:val="24"/>
        </w:rPr>
      </w:pPr>
      <w:r>
        <w:rPr>
          <w:b/>
          <w:sz w:val="24"/>
          <w:szCs w:val="24"/>
        </w:rPr>
        <w:t xml:space="preserve">Directions:  The LEA Plan for Use of ARP ESSER Funds requires planning the full allocation.  The template below will assist in the development of the district plan.   Districts may select evidence-based practices (pre-filled below) included in the LEA Plan for Use of ARP ESSER Funds or add additional rows to provide the practice and evidence that will be utilized by the district.  The plan may be revised by notifying the DESE and uploading the revised plans in </w:t>
      </w:r>
      <w:proofErr w:type="spellStart"/>
      <w:r>
        <w:rPr>
          <w:b/>
          <w:sz w:val="24"/>
          <w:szCs w:val="24"/>
        </w:rPr>
        <w:t>Indistar</w:t>
      </w:r>
      <w:proofErr w:type="spellEnd"/>
      <w:r>
        <w:rPr>
          <w:b/>
          <w:sz w:val="24"/>
          <w:szCs w:val="24"/>
        </w:rPr>
        <w:t xml:space="preserve"> and on the district website (please include the revision date on all documents). </w:t>
      </w:r>
    </w:p>
    <w:p w14:paraId="135672DA" w14:textId="77777777" w:rsidR="003339EA" w:rsidRDefault="003339EA">
      <w:pPr>
        <w:rPr>
          <w:b/>
        </w:rPr>
      </w:pPr>
    </w:p>
    <w:p w14:paraId="7680D09C" w14:textId="77777777" w:rsidR="003339EA" w:rsidRDefault="00AB2073">
      <w:pPr>
        <w:numPr>
          <w:ilvl w:val="0"/>
          <w:numId w:val="2"/>
        </w:numPr>
      </w:pPr>
      <w:r>
        <w:rPr>
          <w:b/>
        </w:rPr>
        <w:t xml:space="preserve"> Creating Safe and Healthy Learning Environments:</w:t>
      </w:r>
      <w:r>
        <w:t xml:space="preserve">  Determine if ARP funds will be used to implement prevention and mitigation strategies that are, to the greatest extent practicable, consistent with the most recent CDC guidance on reopening school, </w:t>
      </w:r>
      <w:proofErr w:type="gramStart"/>
      <w:r>
        <w:t>in order to</w:t>
      </w:r>
      <w:proofErr w:type="gramEnd"/>
      <w:r>
        <w:t xml:space="preserve"> continuously and safely open and operate schools for in-person learning. Districts may select evidence-based practices (pre-filled below) included in the LEA Plan for Use of ARP ESSER Funds or add additional rows to describe the practice and evidence that will be utilized by the district.</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0"/>
        <w:gridCol w:w="2370"/>
        <w:gridCol w:w="3240"/>
        <w:gridCol w:w="2340"/>
      </w:tblGrid>
      <w:tr w:rsidR="003339EA" w14:paraId="3133C053" w14:textId="77777777">
        <w:tc>
          <w:tcPr>
            <w:tcW w:w="1410" w:type="dxa"/>
            <w:shd w:val="clear" w:color="auto" w:fill="auto"/>
            <w:tcMar>
              <w:top w:w="100" w:type="dxa"/>
              <w:left w:w="100" w:type="dxa"/>
              <w:bottom w:w="100" w:type="dxa"/>
              <w:right w:w="100" w:type="dxa"/>
            </w:tcMar>
          </w:tcPr>
          <w:p w14:paraId="46CFF273" w14:textId="77777777" w:rsidR="003339EA" w:rsidRDefault="00AB2073">
            <w:pPr>
              <w:widowControl w:val="0"/>
              <w:pBdr>
                <w:top w:val="nil"/>
                <w:left w:val="nil"/>
                <w:bottom w:val="nil"/>
                <w:right w:val="nil"/>
                <w:between w:val="nil"/>
              </w:pBdr>
              <w:spacing w:line="240" w:lineRule="auto"/>
            </w:pPr>
            <w:r>
              <w:t>Program Code</w:t>
            </w:r>
          </w:p>
        </w:tc>
        <w:tc>
          <w:tcPr>
            <w:tcW w:w="2370" w:type="dxa"/>
            <w:shd w:val="clear" w:color="auto" w:fill="auto"/>
            <w:tcMar>
              <w:top w:w="100" w:type="dxa"/>
              <w:left w:w="100" w:type="dxa"/>
              <w:bottom w:w="100" w:type="dxa"/>
              <w:right w:w="100" w:type="dxa"/>
            </w:tcMar>
          </w:tcPr>
          <w:p w14:paraId="3294F055" w14:textId="77777777" w:rsidR="003339EA" w:rsidRDefault="00AB2073">
            <w:pPr>
              <w:widowControl w:val="0"/>
              <w:pBdr>
                <w:top w:val="nil"/>
                <w:left w:val="nil"/>
                <w:bottom w:val="nil"/>
                <w:right w:val="nil"/>
                <w:between w:val="nil"/>
              </w:pBdr>
              <w:spacing w:line="240" w:lineRule="auto"/>
            </w:pPr>
            <w:r>
              <w:t>Practice</w:t>
            </w:r>
          </w:p>
        </w:tc>
        <w:tc>
          <w:tcPr>
            <w:tcW w:w="3240" w:type="dxa"/>
            <w:shd w:val="clear" w:color="auto" w:fill="auto"/>
            <w:tcMar>
              <w:top w:w="100" w:type="dxa"/>
              <w:left w:w="100" w:type="dxa"/>
              <w:bottom w:w="100" w:type="dxa"/>
              <w:right w:w="100" w:type="dxa"/>
            </w:tcMar>
          </w:tcPr>
          <w:p w14:paraId="16D4BC75" w14:textId="77777777" w:rsidR="003339EA" w:rsidRDefault="00AB2073">
            <w:pPr>
              <w:widowControl w:val="0"/>
              <w:pBdr>
                <w:top w:val="nil"/>
                <w:left w:val="nil"/>
                <w:bottom w:val="nil"/>
                <w:right w:val="nil"/>
                <w:between w:val="nil"/>
              </w:pBdr>
              <w:spacing w:line="240" w:lineRule="auto"/>
            </w:pPr>
            <w:r>
              <w:t>Description</w:t>
            </w:r>
          </w:p>
        </w:tc>
        <w:tc>
          <w:tcPr>
            <w:tcW w:w="2340" w:type="dxa"/>
            <w:shd w:val="clear" w:color="auto" w:fill="auto"/>
            <w:tcMar>
              <w:top w:w="100" w:type="dxa"/>
              <w:left w:w="100" w:type="dxa"/>
              <w:bottom w:w="100" w:type="dxa"/>
              <w:right w:w="100" w:type="dxa"/>
            </w:tcMar>
          </w:tcPr>
          <w:p w14:paraId="7A4E843B" w14:textId="77777777" w:rsidR="003339EA" w:rsidRDefault="00AB2073">
            <w:pPr>
              <w:widowControl w:val="0"/>
              <w:spacing w:line="240" w:lineRule="auto"/>
            </w:pPr>
            <w:r>
              <w:t>Projected Amount</w:t>
            </w:r>
          </w:p>
        </w:tc>
      </w:tr>
      <w:tr w:rsidR="003339EA" w14:paraId="5C4FE73B" w14:textId="77777777">
        <w:tc>
          <w:tcPr>
            <w:tcW w:w="1410" w:type="dxa"/>
            <w:shd w:val="clear" w:color="auto" w:fill="auto"/>
            <w:tcMar>
              <w:top w:w="100" w:type="dxa"/>
              <w:left w:w="100" w:type="dxa"/>
              <w:bottom w:w="100" w:type="dxa"/>
              <w:right w:w="100" w:type="dxa"/>
            </w:tcMar>
          </w:tcPr>
          <w:p w14:paraId="2965F16B" w14:textId="77777777" w:rsidR="003339EA" w:rsidRDefault="00AB2073">
            <w:pPr>
              <w:widowControl w:val="0"/>
              <w:pBdr>
                <w:top w:val="nil"/>
                <w:left w:val="nil"/>
                <w:bottom w:val="nil"/>
                <w:right w:val="nil"/>
                <w:between w:val="nil"/>
              </w:pBdr>
              <w:spacing w:line="240" w:lineRule="auto"/>
            </w:pPr>
            <w:r>
              <w:t xml:space="preserve">186, 187, 188, 189, </w:t>
            </w:r>
            <w:r>
              <w:lastRenderedPageBreak/>
              <w:t>190, 192</w:t>
            </w:r>
          </w:p>
        </w:tc>
        <w:tc>
          <w:tcPr>
            <w:tcW w:w="2370" w:type="dxa"/>
            <w:shd w:val="clear" w:color="auto" w:fill="auto"/>
            <w:tcMar>
              <w:top w:w="100" w:type="dxa"/>
              <w:left w:w="100" w:type="dxa"/>
              <w:bottom w:w="100" w:type="dxa"/>
              <w:right w:w="100" w:type="dxa"/>
            </w:tcMar>
          </w:tcPr>
          <w:p w14:paraId="46EB515D" w14:textId="77777777" w:rsidR="003339EA" w:rsidRDefault="00AB2073">
            <w:pPr>
              <w:widowControl w:val="0"/>
              <w:pBdr>
                <w:top w:val="nil"/>
                <w:left w:val="nil"/>
                <w:bottom w:val="nil"/>
                <w:right w:val="nil"/>
                <w:between w:val="nil"/>
              </w:pBdr>
              <w:spacing w:line="240" w:lineRule="auto"/>
            </w:pPr>
            <w:r>
              <w:lastRenderedPageBreak/>
              <w:t>Systemic Procedures</w:t>
            </w:r>
          </w:p>
        </w:tc>
        <w:tc>
          <w:tcPr>
            <w:tcW w:w="3240" w:type="dxa"/>
            <w:shd w:val="clear" w:color="auto" w:fill="auto"/>
            <w:tcMar>
              <w:top w:w="100" w:type="dxa"/>
              <w:left w:w="100" w:type="dxa"/>
              <w:bottom w:w="100" w:type="dxa"/>
              <w:right w:w="100" w:type="dxa"/>
            </w:tcMar>
          </w:tcPr>
          <w:p w14:paraId="4C9D3F2A" w14:textId="77777777" w:rsidR="003339EA" w:rsidRDefault="00AB2073">
            <w:pPr>
              <w:widowControl w:val="0"/>
              <w:pBdr>
                <w:top w:val="nil"/>
                <w:left w:val="nil"/>
                <w:bottom w:val="nil"/>
                <w:right w:val="nil"/>
                <w:between w:val="nil"/>
              </w:pBdr>
              <w:spacing w:line="240" w:lineRule="auto"/>
            </w:pPr>
            <w:r>
              <w:t xml:space="preserve">Actions or systems implemented to prevent, </w:t>
            </w:r>
            <w:r>
              <w:lastRenderedPageBreak/>
              <w:t>prepare for, and respond to COVID-19.</w:t>
            </w:r>
          </w:p>
          <w:p w14:paraId="478D1B0E" w14:textId="77777777" w:rsidR="003339EA" w:rsidRDefault="003339EA">
            <w:pPr>
              <w:widowControl w:val="0"/>
              <w:pBdr>
                <w:top w:val="nil"/>
                <w:left w:val="nil"/>
                <w:bottom w:val="nil"/>
                <w:right w:val="nil"/>
                <w:between w:val="nil"/>
              </w:pBdr>
              <w:spacing w:line="240" w:lineRule="auto"/>
            </w:pPr>
          </w:p>
          <w:p w14:paraId="0B53B80A" w14:textId="77777777" w:rsidR="003339EA" w:rsidRDefault="00AB2073">
            <w:pPr>
              <w:widowControl w:val="0"/>
              <w:pBdr>
                <w:top w:val="nil"/>
                <w:left w:val="nil"/>
                <w:bottom w:val="nil"/>
                <w:right w:val="nil"/>
                <w:between w:val="nil"/>
              </w:pBdr>
              <w:spacing w:line="240" w:lineRule="auto"/>
            </w:pPr>
            <w:r>
              <w:t>Meeting the nutritional needs of underserved students.</w:t>
            </w:r>
          </w:p>
          <w:p w14:paraId="25C803D8" w14:textId="77777777" w:rsidR="003339EA" w:rsidRDefault="003339EA">
            <w:pPr>
              <w:widowControl w:val="0"/>
              <w:pBdr>
                <w:top w:val="nil"/>
                <w:left w:val="nil"/>
                <w:bottom w:val="nil"/>
                <w:right w:val="nil"/>
                <w:between w:val="nil"/>
              </w:pBdr>
              <w:spacing w:line="240" w:lineRule="auto"/>
            </w:pPr>
          </w:p>
          <w:p w14:paraId="05482F64" w14:textId="77777777" w:rsidR="003339EA" w:rsidRDefault="00AB2073">
            <w:pPr>
              <w:widowControl w:val="0"/>
              <w:pBdr>
                <w:top w:val="nil"/>
                <w:left w:val="nil"/>
                <w:bottom w:val="nil"/>
                <w:right w:val="nil"/>
                <w:between w:val="nil"/>
              </w:pBdr>
              <w:spacing w:line="240" w:lineRule="auto"/>
            </w:pPr>
            <w:r>
              <w:t>Supporting student mental health needs.</w:t>
            </w:r>
          </w:p>
          <w:p w14:paraId="3D4ED277" w14:textId="77777777" w:rsidR="003339EA" w:rsidRDefault="003339EA">
            <w:pPr>
              <w:widowControl w:val="0"/>
              <w:pBdr>
                <w:top w:val="nil"/>
                <w:left w:val="nil"/>
                <w:bottom w:val="nil"/>
                <w:right w:val="nil"/>
                <w:between w:val="nil"/>
              </w:pBdr>
              <w:spacing w:line="240" w:lineRule="auto"/>
            </w:pPr>
          </w:p>
          <w:p w14:paraId="13ECEF7B" w14:textId="77777777" w:rsidR="003339EA" w:rsidRDefault="00AB2073">
            <w:pPr>
              <w:widowControl w:val="0"/>
              <w:pBdr>
                <w:top w:val="nil"/>
                <w:left w:val="nil"/>
                <w:bottom w:val="nil"/>
                <w:right w:val="nil"/>
                <w:between w:val="nil"/>
              </w:pBdr>
              <w:spacing w:line="240" w:lineRule="auto"/>
            </w:pPr>
            <w:r>
              <w:t>Locating absent students and reengaging disconnected youth.</w:t>
            </w:r>
          </w:p>
          <w:p w14:paraId="03AC09C5" w14:textId="77777777" w:rsidR="003339EA" w:rsidRDefault="003339EA">
            <w:pPr>
              <w:widowControl w:val="0"/>
              <w:pBdr>
                <w:top w:val="nil"/>
                <w:left w:val="nil"/>
                <w:bottom w:val="nil"/>
                <w:right w:val="nil"/>
                <w:between w:val="nil"/>
              </w:pBdr>
              <w:spacing w:line="240" w:lineRule="auto"/>
            </w:pPr>
          </w:p>
          <w:p w14:paraId="79FF7400" w14:textId="77777777" w:rsidR="003339EA" w:rsidRDefault="00AB2073">
            <w:pPr>
              <w:widowControl w:val="0"/>
              <w:pBdr>
                <w:top w:val="nil"/>
                <w:left w:val="nil"/>
                <w:bottom w:val="nil"/>
                <w:right w:val="nil"/>
                <w:between w:val="nil"/>
              </w:pBdr>
              <w:spacing w:line="240" w:lineRule="auto"/>
            </w:pPr>
            <w:r>
              <w:t>Providing safe and inclusive learning environments.</w:t>
            </w:r>
          </w:p>
          <w:p w14:paraId="58120EFF" w14:textId="77777777" w:rsidR="003339EA" w:rsidRDefault="003339EA">
            <w:pPr>
              <w:widowControl w:val="0"/>
              <w:pBdr>
                <w:top w:val="nil"/>
                <w:left w:val="nil"/>
                <w:bottom w:val="nil"/>
                <w:right w:val="nil"/>
                <w:between w:val="nil"/>
              </w:pBdr>
              <w:spacing w:line="240" w:lineRule="auto"/>
            </w:pPr>
          </w:p>
          <w:p w14:paraId="47D63529" w14:textId="77777777" w:rsidR="003339EA" w:rsidRDefault="00AB2073">
            <w:pPr>
              <w:widowControl w:val="0"/>
              <w:pBdr>
                <w:top w:val="nil"/>
                <w:left w:val="nil"/>
                <w:bottom w:val="nil"/>
                <w:right w:val="nil"/>
                <w:between w:val="nil"/>
              </w:pBdr>
              <w:spacing w:line="240" w:lineRule="auto"/>
            </w:pPr>
            <w:r>
              <w:t>Providing healthy learning environments.</w:t>
            </w:r>
          </w:p>
        </w:tc>
        <w:tc>
          <w:tcPr>
            <w:tcW w:w="2340" w:type="dxa"/>
            <w:shd w:val="clear" w:color="auto" w:fill="auto"/>
            <w:tcMar>
              <w:top w:w="100" w:type="dxa"/>
              <w:left w:w="100" w:type="dxa"/>
              <w:bottom w:w="100" w:type="dxa"/>
              <w:right w:w="100" w:type="dxa"/>
            </w:tcMar>
          </w:tcPr>
          <w:p w14:paraId="7FC24EA4" w14:textId="68634558" w:rsidR="003339EA" w:rsidRDefault="00486545">
            <w:pPr>
              <w:widowControl w:val="0"/>
              <w:pBdr>
                <w:top w:val="nil"/>
                <w:left w:val="nil"/>
                <w:bottom w:val="nil"/>
                <w:right w:val="nil"/>
                <w:between w:val="nil"/>
              </w:pBdr>
              <w:spacing w:line="240" w:lineRule="auto"/>
            </w:pPr>
            <w:r>
              <w:lastRenderedPageBreak/>
              <w:t>$</w:t>
            </w:r>
            <w:r w:rsidR="00FB3496">
              <w:t>2</w:t>
            </w:r>
            <w:r>
              <w:t>1,668.54</w:t>
            </w:r>
          </w:p>
        </w:tc>
      </w:tr>
      <w:tr w:rsidR="003339EA" w14:paraId="1C2CFEC1" w14:textId="77777777">
        <w:tc>
          <w:tcPr>
            <w:tcW w:w="1410" w:type="dxa"/>
            <w:shd w:val="clear" w:color="auto" w:fill="auto"/>
            <w:tcMar>
              <w:top w:w="100" w:type="dxa"/>
              <w:left w:w="100" w:type="dxa"/>
              <w:bottom w:w="100" w:type="dxa"/>
              <w:right w:w="100" w:type="dxa"/>
            </w:tcMar>
          </w:tcPr>
          <w:p w14:paraId="0066B3CE" w14:textId="77777777" w:rsidR="003339EA" w:rsidRDefault="00AB2073">
            <w:pPr>
              <w:widowControl w:val="0"/>
              <w:pBdr>
                <w:top w:val="nil"/>
                <w:left w:val="nil"/>
                <w:bottom w:val="nil"/>
                <w:right w:val="nil"/>
                <w:between w:val="nil"/>
              </w:pBdr>
              <w:spacing w:line="240" w:lineRule="auto"/>
            </w:pPr>
            <w:r>
              <w:t>196, 197</w:t>
            </w:r>
          </w:p>
        </w:tc>
        <w:tc>
          <w:tcPr>
            <w:tcW w:w="2370" w:type="dxa"/>
            <w:shd w:val="clear" w:color="auto" w:fill="auto"/>
            <w:tcMar>
              <w:top w:w="100" w:type="dxa"/>
              <w:left w:w="100" w:type="dxa"/>
              <w:bottom w:w="100" w:type="dxa"/>
              <w:right w:w="100" w:type="dxa"/>
            </w:tcMar>
          </w:tcPr>
          <w:p w14:paraId="7F0C927D" w14:textId="77777777" w:rsidR="003339EA" w:rsidRDefault="00AB2073">
            <w:pPr>
              <w:widowControl w:val="0"/>
              <w:pBdr>
                <w:top w:val="nil"/>
                <w:left w:val="nil"/>
                <w:bottom w:val="nil"/>
                <w:right w:val="nil"/>
                <w:between w:val="nil"/>
              </w:pBdr>
              <w:spacing w:line="240" w:lineRule="auto"/>
            </w:pPr>
            <w:r>
              <w:t>Facilities</w:t>
            </w:r>
          </w:p>
        </w:tc>
        <w:tc>
          <w:tcPr>
            <w:tcW w:w="3240" w:type="dxa"/>
            <w:shd w:val="clear" w:color="auto" w:fill="auto"/>
            <w:tcMar>
              <w:top w:w="100" w:type="dxa"/>
              <w:left w:w="100" w:type="dxa"/>
              <w:bottom w:w="100" w:type="dxa"/>
              <w:right w:w="100" w:type="dxa"/>
            </w:tcMar>
          </w:tcPr>
          <w:p w14:paraId="205CCF82" w14:textId="77777777" w:rsidR="003339EA" w:rsidRDefault="00AB2073">
            <w:pPr>
              <w:widowControl w:val="0"/>
              <w:pBdr>
                <w:top w:val="nil"/>
                <w:left w:val="nil"/>
                <w:bottom w:val="nil"/>
                <w:right w:val="nil"/>
                <w:between w:val="nil"/>
              </w:pBdr>
              <w:spacing w:line="240" w:lineRule="auto"/>
            </w:pPr>
            <w:r>
              <w:t>School facility repairs and improvements to enable operation of schools to reduce risk of COVID-19 transmission and exposure to environmental health hazards, and to support student health needs.</w:t>
            </w:r>
          </w:p>
        </w:tc>
        <w:tc>
          <w:tcPr>
            <w:tcW w:w="2340" w:type="dxa"/>
            <w:shd w:val="clear" w:color="auto" w:fill="auto"/>
            <w:tcMar>
              <w:top w:w="100" w:type="dxa"/>
              <w:left w:w="100" w:type="dxa"/>
              <w:bottom w:w="100" w:type="dxa"/>
              <w:right w:w="100" w:type="dxa"/>
            </w:tcMar>
          </w:tcPr>
          <w:p w14:paraId="23916719" w14:textId="1041C00F" w:rsidR="003339EA" w:rsidRDefault="00486545">
            <w:pPr>
              <w:widowControl w:val="0"/>
              <w:pBdr>
                <w:top w:val="nil"/>
                <w:left w:val="nil"/>
                <w:bottom w:val="nil"/>
                <w:right w:val="nil"/>
                <w:between w:val="nil"/>
              </w:pBdr>
              <w:spacing w:line="240" w:lineRule="auto"/>
            </w:pPr>
            <w:r>
              <w:t>$10,000.00</w:t>
            </w:r>
          </w:p>
        </w:tc>
      </w:tr>
      <w:tr w:rsidR="003339EA" w14:paraId="14C1E97D" w14:textId="77777777">
        <w:tc>
          <w:tcPr>
            <w:tcW w:w="1410" w:type="dxa"/>
            <w:shd w:val="clear" w:color="auto" w:fill="auto"/>
            <w:tcMar>
              <w:top w:w="100" w:type="dxa"/>
              <w:left w:w="100" w:type="dxa"/>
              <w:bottom w:w="100" w:type="dxa"/>
              <w:right w:w="100" w:type="dxa"/>
            </w:tcMar>
          </w:tcPr>
          <w:p w14:paraId="0535EF55" w14:textId="77777777" w:rsidR="003339EA" w:rsidRDefault="00AB2073">
            <w:pPr>
              <w:widowControl w:val="0"/>
              <w:pBdr>
                <w:top w:val="nil"/>
                <w:left w:val="nil"/>
                <w:bottom w:val="nil"/>
                <w:right w:val="nil"/>
                <w:between w:val="nil"/>
              </w:pBdr>
              <w:spacing w:line="240" w:lineRule="auto"/>
            </w:pPr>
            <w:r>
              <w:t>198</w:t>
            </w:r>
          </w:p>
        </w:tc>
        <w:tc>
          <w:tcPr>
            <w:tcW w:w="2370" w:type="dxa"/>
            <w:shd w:val="clear" w:color="auto" w:fill="auto"/>
            <w:tcMar>
              <w:top w:w="100" w:type="dxa"/>
              <w:left w:w="100" w:type="dxa"/>
              <w:bottom w:w="100" w:type="dxa"/>
              <w:right w:w="100" w:type="dxa"/>
            </w:tcMar>
          </w:tcPr>
          <w:p w14:paraId="012B52B8" w14:textId="77777777" w:rsidR="003339EA" w:rsidRDefault="00AB2073">
            <w:pPr>
              <w:widowControl w:val="0"/>
              <w:pBdr>
                <w:top w:val="nil"/>
                <w:left w:val="nil"/>
                <w:bottom w:val="nil"/>
                <w:right w:val="nil"/>
                <w:between w:val="nil"/>
              </w:pBdr>
              <w:spacing w:line="240" w:lineRule="auto"/>
            </w:pPr>
            <w:r>
              <w:t>Transportation</w:t>
            </w:r>
          </w:p>
        </w:tc>
        <w:tc>
          <w:tcPr>
            <w:tcW w:w="3240" w:type="dxa"/>
            <w:shd w:val="clear" w:color="auto" w:fill="auto"/>
            <w:tcMar>
              <w:top w:w="100" w:type="dxa"/>
              <w:left w:w="100" w:type="dxa"/>
              <w:bottom w:w="100" w:type="dxa"/>
              <w:right w:w="100" w:type="dxa"/>
            </w:tcMar>
          </w:tcPr>
          <w:p w14:paraId="76111137" w14:textId="77777777" w:rsidR="003339EA" w:rsidRDefault="00AB2073">
            <w:pPr>
              <w:widowControl w:val="0"/>
              <w:pBdr>
                <w:top w:val="nil"/>
                <w:left w:val="nil"/>
                <w:bottom w:val="nil"/>
                <w:right w:val="nil"/>
                <w:between w:val="nil"/>
              </w:pBdr>
              <w:spacing w:line="240" w:lineRule="auto"/>
            </w:pPr>
            <w:r>
              <w:t>Transportation costs to reduce the spread of COVID-19.</w:t>
            </w:r>
          </w:p>
        </w:tc>
        <w:tc>
          <w:tcPr>
            <w:tcW w:w="2340" w:type="dxa"/>
            <w:shd w:val="clear" w:color="auto" w:fill="auto"/>
            <w:tcMar>
              <w:top w:w="100" w:type="dxa"/>
              <w:left w:w="100" w:type="dxa"/>
              <w:bottom w:w="100" w:type="dxa"/>
              <w:right w:w="100" w:type="dxa"/>
            </w:tcMar>
          </w:tcPr>
          <w:p w14:paraId="07CE69EA" w14:textId="0E52398D" w:rsidR="003339EA" w:rsidRDefault="00486545">
            <w:pPr>
              <w:widowControl w:val="0"/>
              <w:pBdr>
                <w:top w:val="nil"/>
                <w:left w:val="nil"/>
                <w:bottom w:val="nil"/>
                <w:right w:val="nil"/>
                <w:between w:val="nil"/>
              </w:pBdr>
              <w:spacing w:line="240" w:lineRule="auto"/>
            </w:pPr>
            <w:r>
              <w:t>$5,000.00</w:t>
            </w:r>
          </w:p>
        </w:tc>
      </w:tr>
      <w:tr w:rsidR="003339EA" w14:paraId="18E976A4" w14:textId="77777777">
        <w:tc>
          <w:tcPr>
            <w:tcW w:w="1410" w:type="dxa"/>
            <w:shd w:val="clear" w:color="auto" w:fill="auto"/>
            <w:tcMar>
              <w:top w:w="100" w:type="dxa"/>
              <w:left w:w="100" w:type="dxa"/>
              <w:bottom w:w="100" w:type="dxa"/>
              <w:right w:w="100" w:type="dxa"/>
            </w:tcMar>
          </w:tcPr>
          <w:p w14:paraId="6E270BB7" w14:textId="77777777" w:rsidR="003339EA" w:rsidRDefault="003339EA">
            <w:pPr>
              <w:widowControl w:val="0"/>
              <w:pBdr>
                <w:top w:val="nil"/>
                <w:left w:val="nil"/>
                <w:bottom w:val="nil"/>
                <w:right w:val="nil"/>
                <w:between w:val="nil"/>
              </w:pBdr>
              <w:spacing w:line="240" w:lineRule="auto"/>
            </w:pPr>
          </w:p>
        </w:tc>
        <w:tc>
          <w:tcPr>
            <w:tcW w:w="2370" w:type="dxa"/>
            <w:shd w:val="clear" w:color="auto" w:fill="auto"/>
            <w:tcMar>
              <w:top w:w="100" w:type="dxa"/>
              <w:left w:w="100" w:type="dxa"/>
              <w:bottom w:w="100" w:type="dxa"/>
              <w:right w:w="100" w:type="dxa"/>
            </w:tcMar>
          </w:tcPr>
          <w:p w14:paraId="6AF96B3B" w14:textId="77777777" w:rsidR="003339EA" w:rsidRDefault="003339EA">
            <w:pPr>
              <w:widowControl w:val="0"/>
              <w:pBdr>
                <w:top w:val="nil"/>
                <w:left w:val="nil"/>
                <w:bottom w:val="nil"/>
                <w:right w:val="nil"/>
                <w:between w:val="nil"/>
              </w:pBdr>
              <w:spacing w:line="240" w:lineRule="auto"/>
            </w:pPr>
          </w:p>
        </w:tc>
        <w:tc>
          <w:tcPr>
            <w:tcW w:w="3240" w:type="dxa"/>
            <w:shd w:val="clear" w:color="auto" w:fill="auto"/>
            <w:tcMar>
              <w:top w:w="100" w:type="dxa"/>
              <w:left w:w="100" w:type="dxa"/>
              <w:bottom w:w="100" w:type="dxa"/>
              <w:right w:w="100" w:type="dxa"/>
            </w:tcMar>
          </w:tcPr>
          <w:p w14:paraId="7D93AB18" w14:textId="77777777" w:rsidR="003339EA" w:rsidRDefault="003339EA">
            <w:pPr>
              <w:widowControl w:val="0"/>
              <w:pBdr>
                <w:top w:val="nil"/>
                <w:left w:val="nil"/>
                <w:bottom w:val="nil"/>
                <w:right w:val="nil"/>
                <w:between w:val="nil"/>
              </w:pBdr>
              <w:spacing w:line="240" w:lineRule="auto"/>
            </w:pPr>
          </w:p>
        </w:tc>
        <w:tc>
          <w:tcPr>
            <w:tcW w:w="2340" w:type="dxa"/>
            <w:shd w:val="clear" w:color="auto" w:fill="auto"/>
            <w:tcMar>
              <w:top w:w="100" w:type="dxa"/>
              <w:left w:w="100" w:type="dxa"/>
              <w:bottom w:w="100" w:type="dxa"/>
              <w:right w:w="100" w:type="dxa"/>
            </w:tcMar>
          </w:tcPr>
          <w:p w14:paraId="2517B0E1" w14:textId="77777777" w:rsidR="003339EA" w:rsidRDefault="003339EA">
            <w:pPr>
              <w:widowControl w:val="0"/>
              <w:pBdr>
                <w:top w:val="nil"/>
                <w:left w:val="nil"/>
                <w:bottom w:val="nil"/>
                <w:right w:val="nil"/>
                <w:between w:val="nil"/>
              </w:pBdr>
              <w:spacing w:line="240" w:lineRule="auto"/>
            </w:pPr>
          </w:p>
        </w:tc>
      </w:tr>
      <w:tr w:rsidR="003339EA" w14:paraId="44FD326C" w14:textId="77777777">
        <w:tc>
          <w:tcPr>
            <w:tcW w:w="1410" w:type="dxa"/>
            <w:shd w:val="clear" w:color="auto" w:fill="auto"/>
            <w:tcMar>
              <w:top w:w="100" w:type="dxa"/>
              <w:left w:w="100" w:type="dxa"/>
              <w:bottom w:w="100" w:type="dxa"/>
              <w:right w:w="100" w:type="dxa"/>
            </w:tcMar>
          </w:tcPr>
          <w:p w14:paraId="4F792F52" w14:textId="77777777" w:rsidR="003339EA" w:rsidRDefault="003339EA">
            <w:pPr>
              <w:widowControl w:val="0"/>
              <w:pBdr>
                <w:top w:val="nil"/>
                <w:left w:val="nil"/>
                <w:bottom w:val="nil"/>
                <w:right w:val="nil"/>
                <w:between w:val="nil"/>
              </w:pBdr>
              <w:spacing w:line="240" w:lineRule="auto"/>
            </w:pPr>
          </w:p>
        </w:tc>
        <w:tc>
          <w:tcPr>
            <w:tcW w:w="2370" w:type="dxa"/>
            <w:shd w:val="clear" w:color="auto" w:fill="auto"/>
            <w:tcMar>
              <w:top w:w="100" w:type="dxa"/>
              <w:left w:w="100" w:type="dxa"/>
              <w:bottom w:w="100" w:type="dxa"/>
              <w:right w:w="100" w:type="dxa"/>
            </w:tcMar>
          </w:tcPr>
          <w:p w14:paraId="77192A09" w14:textId="77777777" w:rsidR="003339EA" w:rsidRDefault="003339EA">
            <w:pPr>
              <w:widowControl w:val="0"/>
              <w:pBdr>
                <w:top w:val="nil"/>
                <w:left w:val="nil"/>
                <w:bottom w:val="nil"/>
                <w:right w:val="nil"/>
                <w:between w:val="nil"/>
              </w:pBdr>
              <w:spacing w:line="240" w:lineRule="auto"/>
            </w:pPr>
          </w:p>
        </w:tc>
        <w:tc>
          <w:tcPr>
            <w:tcW w:w="3240" w:type="dxa"/>
            <w:shd w:val="clear" w:color="auto" w:fill="auto"/>
            <w:tcMar>
              <w:top w:w="100" w:type="dxa"/>
              <w:left w:w="100" w:type="dxa"/>
              <w:bottom w:w="100" w:type="dxa"/>
              <w:right w:w="100" w:type="dxa"/>
            </w:tcMar>
          </w:tcPr>
          <w:p w14:paraId="1B6EA5E4" w14:textId="77777777" w:rsidR="003339EA" w:rsidRDefault="003339EA">
            <w:pPr>
              <w:widowControl w:val="0"/>
              <w:pBdr>
                <w:top w:val="nil"/>
                <w:left w:val="nil"/>
                <w:bottom w:val="nil"/>
                <w:right w:val="nil"/>
                <w:between w:val="nil"/>
              </w:pBdr>
              <w:spacing w:line="240" w:lineRule="auto"/>
            </w:pPr>
          </w:p>
        </w:tc>
        <w:tc>
          <w:tcPr>
            <w:tcW w:w="2340" w:type="dxa"/>
            <w:shd w:val="clear" w:color="auto" w:fill="auto"/>
            <w:tcMar>
              <w:top w:w="100" w:type="dxa"/>
              <w:left w:w="100" w:type="dxa"/>
              <w:bottom w:w="100" w:type="dxa"/>
              <w:right w:w="100" w:type="dxa"/>
            </w:tcMar>
          </w:tcPr>
          <w:p w14:paraId="7EDED0CD" w14:textId="77777777" w:rsidR="003339EA" w:rsidRDefault="003339EA">
            <w:pPr>
              <w:widowControl w:val="0"/>
              <w:pBdr>
                <w:top w:val="nil"/>
                <w:left w:val="nil"/>
                <w:bottom w:val="nil"/>
                <w:right w:val="nil"/>
                <w:between w:val="nil"/>
              </w:pBdr>
              <w:spacing w:line="240" w:lineRule="auto"/>
            </w:pPr>
          </w:p>
        </w:tc>
      </w:tr>
    </w:tbl>
    <w:p w14:paraId="40842D14" w14:textId="77777777" w:rsidR="003339EA" w:rsidRDefault="003339EA"/>
    <w:p w14:paraId="29C23BEC" w14:textId="77777777" w:rsidR="003339EA" w:rsidRDefault="003339EA"/>
    <w:p w14:paraId="1B81968B" w14:textId="30E0942C" w:rsidR="003339EA" w:rsidRDefault="00AB2073">
      <w:pPr>
        <w:numPr>
          <w:ilvl w:val="0"/>
          <w:numId w:val="2"/>
        </w:numPr>
      </w:pPr>
      <w:r>
        <w:rPr>
          <w:b/>
        </w:rPr>
        <w:t xml:space="preserve"> Addressing Lost Instructional Time or Loss of Learning:</w:t>
      </w:r>
      <w:r>
        <w:t xml:space="preserve">  Describe how the LEA will use the funds it reserves under Section 2001 (e) (1) of the ARP Act to address the academic impact of lost instructional time through the implementation of </w:t>
      </w:r>
      <w:r>
        <w:rPr>
          <w:b/>
          <w:u w:val="single"/>
        </w:rPr>
        <w:t>evidence-based interventions</w:t>
      </w:r>
      <w:r>
        <w:t xml:space="preserve">.  The district must spend a </w:t>
      </w:r>
      <w:r>
        <w:rPr>
          <w:u w:val="single"/>
        </w:rPr>
        <w:t>minimum of 20%</w:t>
      </w:r>
      <w:r>
        <w:t xml:space="preserve"> of ARP ESSER funds.  The full implementation of the evidence-based interventions </w:t>
      </w:r>
      <w:proofErr w:type="gramStart"/>
      <w:r>
        <w:t>include</w:t>
      </w:r>
      <w:proofErr w:type="gramEnd"/>
      <w:r>
        <w:t xml:space="preserve"> the personnel, materials, equipment, professional development, and expenses needed to meet the needs of students.  Other </w:t>
      </w:r>
      <w:hyperlink r:id="rId7" w:history="1">
        <w:r w:rsidRPr="00161E1D">
          <w:rPr>
            <w:rStyle w:val="Hyperlink"/>
          </w:rPr>
          <w:t>evidence based practices</w:t>
        </w:r>
      </w:hyperlink>
      <w:r>
        <w:t xml:space="preserve"> may be utilized if the intervention meets one of the four tiers of evidence.  Evidence based practices resources may be found on page 7 of </w:t>
      </w:r>
      <w:hyperlink r:id="rId8" w:history="1">
        <w:r w:rsidRPr="00161E1D">
          <w:rPr>
            <w:rStyle w:val="Hyperlink"/>
          </w:rPr>
          <w:t>Empowering Schools for Success Using Effective Evidence Based Practices to Impact Student Outcomes</w:t>
        </w:r>
      </w:hyperlink>
      <w:r>
        <w:t>.  Districts may select evidence-based practices (pre-filled below) included in the LEA Plan for Use of ARP ESSER Funds or add additional rows to describe the practice and evidence that will be utilized by the district.</w:t>
      </w:r>
    </w:p>
    <w:p w14:paraId="557902C0" w14:textId="77777777" w:rsidR="003339EA" w:rsidRDefault="003339EA"/>
    <w:p w14:paraId="1E6B58B1" w14:textId="657B8FE2" w:rsidR="003339EA" w:rsidRDefault="00AB2073">
      <w:pPr>
        <w:rPr>
          <w:color w:val="FF0000"/>
        </w:rPr>
      </w:pPr>
      <w:r>
        <w:rPr>
          <w:color w:val="FF0000"/>
        </w:rPr>
        <w:t>ARP ESSER total allocation_$_</w:t>
      </w:r>
      <w:r w:rsidR="00486545">
        <w:rPr>
          <w:color w:val="FF0000"/>
        </w:rPr>
        <w:t>201,668.54</w:t>
      </w:r>
      <w:r>
        <w:rPr>
          <w:color w:val="FF0000"/>
        </w:rPr>
        <w:t>____________minimum 20% set-aside_$____</w:t>
      </w:r>
      <w:r w:rsidR="00486545">
        <w:rPr>
          <w:color w:val="FF0000"/>
        </w:rPr>
        <w:t>$40,333.71</w:t>
      </w:r>
      <w:r>
        <w:rPr>
          <w:color w:val="FF0000"/>
        </w:rPr>
        <w:t>____________</w:t>
      </w:r>
    </w:p>
    <w:p w14:paraId="17364915" w14:textId="77777777" w:rsidR="003339EA" w:rsidRDefault="003339EA">
      <w:pPr>
        <w:ind w:left="720"/>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75"/>
        <w:gridCol w:w="1905"/>
        <w:gridCol w:w="3540"/>
        <w:gridCol w:w="2340"/>
      </w:tblGrid>
      <w:tr w:rsidR="003339EA" w14:paraId="77937649" w14:textId="77777777">
        <w:tc>
          <w:tcPr>
            <w:tcW w:w="1575" w:type="dxa"/>
            <w:shd w:val="clear" w:color="auto" w:fill="auto"/>
            <w:tcMar>
              <w:top w:w="100" w:type="dxa"/>
              <w:left w:w="100" w:type="dxa"/>
              <w:bottom w:w="100" w:type="dxa"/>
              <w:right w:w="100" w:type="dxa"/>
            </w:tcMar>
          </w:tcPr>
          <w:p w14:paraId="189E68BF" w14:textId="77777777" w:rsidR="003339EA" w:rsidRDefault="00AB2073">
            <w:pPr>
              <w:widowControl w:val="0"/>
              <w:spacing w:line="240" w:lineRule="auto"/>
            </w:pPr>
            <w:r>
              <w:t>Program Code</w:t>
            </w:r>
          </w:p>
        </w:tc>
        <w:tc>
          <w:tcPr>
            <w:tcW w:w="1905" w:type="dxa"/>
            <w:shd w:val="clear" w:color="auto" w:fill="auto"/>
            <w:tcMar>
              <w:top w:w="100" w:type="dxa"/>
              <w:left w:w="100" w:type="dxa"/>
              <w:bottom w:w="100" w:type="dxa"/>
              <w:right w:w="100" w:type="dxa"/>
            </w:tcMar>
          </w:tcPr>
          <w:p w14:paraId="1025311F" w14:textId="77777777" w:rsidR="003339EA" w:rsidRDefault="00AB2073">
            <w:r>
              <w:t>Evidence-based interventions</w:t>
            </w:r>
          </w:p>
        </w:tc>
        <w:tc>
          <w:tcPr>
            <w:tcW w:w="3540" w:type="dxa"/>
            <w:shd w:val="clear" w:color="auto" w:fill="auto"/>
            <w:tcMar>
              <w:top w:w="100" w:type="dxa"/>
              <w:left w:w="100" w:type="dxa"/>
              <w:bottom w:w="100" w:type="dxa"/>
              <w:right w:w="100" w:type="dxa"/>
            </w:tcMar>
          </w:tcPr>
          <w:p w14:paraId="7DDA1B8B" w14:textId="77777777" w:rsidR="003339EA" w:rsidRDefault="00AB2073">
            <w:pPr>
              <w:widowControl w:val="0"/>
              <w:spacing w:line="240" w:lineRule="auto"/>
            </w:pPr>
            <w:r>
              <w:t>Description</w:t>
            </w:r>
          </w:p>
        </w:tc>
        <w:tc>
          <w:tcPr>
            <w:tcW w:w="2340" w:type="dxa"/>
            <w:shd w:val="clear" w:color="auto" w:fill="auto"/>
            <w:tcMar>
              <w:top w:w="100" w:type="dxa"/>
              <w:left w:w="100" w:type="dxa"/>
              <w:bottom w:w="100" w:type="dxa"/>
              <w:right w:w="100" w:type="dxa"/>
            </w:tcMar>
          </w:tcPr>
          <w:p w14:paraId="335FA6EC" w14:textId="77777777" w:rsidR="003339EA" w:rsidRDefault="00AB2073">
            <w:pPr>
              <w:widowControl w:val="0"/>
              <w:spacing w:line="240" w:lineRule="auto"/>
            </w:pPr>
            <w:r>
              <w:t>Projected Amount</w:t>
            </w:r>
          </w:p>
        </w:tc>
      </w:tr>
      <w:tr w:rsidR="003339EA" w14:paraId="50604EAC" w14:textId="77777777">
        <w:tc>
          <w:tcPr>
            <w:tcW w:w="1575" w:type="dxa"/>
            <w:shd w:val="clear" w:color="auto" w:fill="auto"/>
            <w:tcMar>
              <w:top w:w="100" w:type="dxa"/>
              <w:left w:w="100" w:type="dxa"/>
              <w:bottom w:w="100" w:type="dxa"/>
              <w:right w:w="100" w:type="dxa"/>
            </w:tcMar>
          </w:tcPr>
          <w:p w14:paraId="6F2DC474" w14:textId="77777777" w:rsidR="003339EA" w:rsidRDefault="00AB2073">
            <w:pPr>
              <w:widowControl w:val="0"/>
              <w:spacing w:line="240" w:lineRule="auto"/>
              <w:rPr>
                <w:sz w:val="18"/>
                <w:szCs w:val="18"/>
              </w:rPr>
            </w:pPr>
            <w:r>
              <w:rPr>
                <w:sz w:val="18"/>
                <w:szCs w:val="18"/>
              </w:rPr>
              <w:t>170, 180, 184</w:t>
            </w:r>
          </w:p>
        </w:tc>
        <w:tc>
          <w:tcPr>
            <w:tcW w:w="1905" w:type="dxa"/>
            <w:shd w:val="clear" w:color="auto" w:fill="auto"/>
            <w:tcMar>
              <w:top w:w="100" w:type="dxa"/>
              <w:left w:w="100" w:type="dxa"/>
              <w:bottom w:w="100" w:type="dxa"/>
              <w:right w:w="100" w:type="dxa"/>
            </w:tcMar>
          </w:tcPr>
          <w:p w14:paraId="49D692BF" w14:textId="77777777" w:rsidR="003339EA" w:rsidRDefault="00AB2073">
            <w:pPr>
              <w:widowControl w:val="0"/>
              <w:spacing w:line="240" w:lineRule="auto"/>
              <w:rPr>
                <w:sz w:val="18"/>
                <w:szCs w:val="18"/>
              </w:rPr>
            </w:pPr>
            <w:r>
              <w:rPr>
                <w:sz w:val="18"/>
                <w:szCs w:val="18"/>
              </w:rPr>
              <w:t>Accelerating learning through instructional approaches.</w:t>
            </w:r>
          </w:p>
          <w:p w14:paraId="47C885EC" w14:textId="77777777" w:rsidR="003339EA" w:rsidRDefault="003339EA">
            <w:pPr>
              <w:widowControl w:val="0"/>
              <w:spacing w:line="240" w:lineRule="auto"/>
              <w:rPr>
                <w:sz w:val="18"/>
                <w:szCs w:val="18"/>
              </w:rPr>
            </w:pPr>
          </w:p>
          <w:p w14:paraId="72C69515" w14:textId="77777777" w:rsidR="003339EA" w:rsidRDefault="003339EA">
            <w:pPr>
              <w:widowControl w:val="0"/>
              <w:spacing w:line="240" w:lineRule="auto"/>
              <w:rPr>
                <w:sz w:val="18"/>
                <w:szCs w:val="18"/>
              </w:rPr>
            </w:pPr>
          </w:p>
        </w:tc>
        <w:tc>
          <w:tcPr>
            <w:tcW w:w="3540" w:type="dxa"/>
            <w:shd w:val="clear" w:color="auto" w:fill="auto"/>
            <w:tcMar>
              <w:top w:w="100" w:type="dxa"/>
              <w:left w:w="100" w:type="dxa"/>
              <w:bottom w:w="100" w:type="dxa"/>
              <w:right w:w="100" w:type="dxa"/>
            </w:tcMar>
          </w:tcPr>
          <w:p w14:paraId="47524B7A" w14:textId="77777777" w:rsidR="003339EA" w:rsidRDefault="00AB2073">
            <w:pPr>
              <w:widowControl w:val="0"/>
              <w:spacing w:line="240" w:lineRule="auto"/>
              <w:rPr>
                <w:sz w:val="18"/>
                <w:szCs w:val="18"/>
              </w:rPr>
            </w:pPr>
            <w:r>
              <w:rPr>
                <w:sz w:val="18"/>
                <w:szCs w:val="18"/>
              </w:rPr>
              <w:t>In-school acceleration:</w:t>
            </w:r>
          </w:p>
          <w:p w14:paraId="3B26631C" w14:textId="77777777" w:rsidR="003339EA" w:rsidRDefault="00AB2073">
            <w:pPr>
              <w:widowControl w:val="0"/>
              <w:spacing w:line="240" w:lineRule="auto"/>
              <w:rPr>
                <w:sz w:val="18"/>
                <w:szCs w:val="18"/>
              </w:rPr>
            </w:pPr>
            <w:r>
              <w:rPr>
                <w:sz w:val="18"/>
                <w:szCs w:val="18"/>
              </w:rPr>
              <w:t xml:space="preserve">Licensed educators provide needed support for students within the context of grade-level work and within the </w:t>
            </w:r>
            <w:proofErr w:type="gramStart"/>
            <w:r>
              <w:rPr>
                <w:sz w:val="18"/>
                <w:szCs w:val="18"/>
              </w:rPr>
              <w:t>classroom;</w:t>
            </w:r>
            <w:proofErr w:type="gramEnd"/>
            <w:r>
              <w:rPr>
                <w:sz w:val="18"/>
                <w:szCs w:val="18"/>
              </w:rPr>
              <w:t xml:space="preserve"> using high-quality assessments, and instruction on essential learning (effect size .60-.88, Tier 3).</w:t>
            </w:r>
          </w:p>
          <w:p w14:paraId="4AB4F034" w14:textId="77777777" w:rsidR="003339EA" w:rsidRDefault="00AB2073">
            <w:pPr>
              <w:widowControl w:val="0"/>
              <w:spacing w:line="240" w:lineRule="auto"/>
              <w:rPr>
                <w:sz w:val="18"/>
                <w:szCs w:val="18"/>
              </w:rPr>
            </w:pPr>
            <w:r>
              <w:rPr>
                <w:sz w:val="18"/>
                <w:szCs w:val="18"/>
              </w:rPr>
              <w:t>-High Quality Instructional Materials</w:t>
            </w:r>
          </w:p>
        </w:tc>
        <w:tc>
          <w:tcPr>
            <w:tcW w:w="2340" w:type="dxa"/>
            <w:shd w:val="clear" w:color="auto" w:fill="auto"/>
            <w:tcMar>
              <w:top w:w="100" w:type="dxa"/>
              <w:left w:w="100" w:type="dxa"/>
              <w:bottom w:w="100" w:type="dxa"/>
              <w:right w:w="100" w:type="dxa"/>
            </w:tcMar>
          </w:tcPr>
          <w:p w14:paraId="1A6FDC3A" w14:textId="0ED026BB" w:rsidR="003339EA" w:rsidRDefault="00486545">
            <w:pPr>
              <w:widowControl w:val="0"/>
              <w:spacing w:line="240" w:lineRule="auto"/>
              <w:rPr>
                <w:sz w:val="18"/>
                <w:szCs w:val="18"/>
              </w:rPr>
            </w:pPr>
            <w:r>
              <w:rPr>
                <w:sz w:val="18"/>
                <w:szCs w:val="18"/>
              </w:rPr>
              <w:t>$</w:t>
            </w:r>
            <w:r w:rsidR="00FB3496">
              <w:rPr>
                <w:sz w:val="18"/>
                <w:szCs w:val="18"/>
              </w:rPr>
              <w:t>2</w:t>
            </w:r>
            <w:r>
              <w:rPr>
                <w:sz w:val="18"/>
                <w:szCs w:val="18"/>
              </w:rPr>
              <w:t>5,000.00</w:t>
            </w:r>
          </w:p>
        </w:tc>
      </w:tr>
      <w:tr w:rsidR="003339EA" w14:paraId="082A19D1" w14:textId="77777777">
        <w:tc>
          <w:tcPr>
            <w:tcW w:w="1575" w:type="dxa"/>
            <w:shd w:val="clear" w:color="auto" w:fill="auto"/>
            <w:tcMar>
              <w:top w:w="100" w:type="dxa"/>
              <w:left w:w="100" w:type="dxa"/>
              <w:bottom w:w="100" w:type="dxa"/>
              <w:right w:w="100" w:type="dxa"/>
            </w:tcMar>
          </w:tcPr>
          <w:p w14:paraId="19B6FFC4" w14:textId="77777777" w:rsidR="003339EA" w:rsidRDefault="00AB2073">
            <w:pPr>
              <w:widowControl w:val="0"/>
              <w:spacing w:line="240" w:lineRule="auto"/>
              <w:rPr>
                <w:sz w:val="18"/>
                <w:szCs w:val="18"/>
              </w:rPr>
            </w:pPr>
            <w:r>
              <w:rPr>
                <w:sz w:val="18"/>
                <w:szCs w:val="18"/>
              </w:rPr>
              <w:t>170, 180, 182, 184</w:t>
            </w:r>
          </w:p>
        </w:tc>
        <w:tc>
          <w:tcPr>
            <w:tcW w:w="1905" w:type="dxa"/>
            <w:shd w:val="clear" w:color="auto" w:fill="auto"/>
            <w:tcMar>
              <w:top w:w="100" w:type="dxa"/>
              <w:left w:w="100" w:type="dxa"/>
              <w:bottom w:w="100" w:type="dxa"/>
              <w:right w:w="100" w:type="dxa"/>
            </w:tcMar>
          </w:tcPr>
          <w:p w14:paraId="1C7ECF88" w14:textId="77777777" w:rsidR="003339EA" w:rsidRDefault="00AB2073">
            <w:pPr>
              <w:widowControl w:val="0"/>
              <w:spacing w:line="240" w:lineRule="auto"/>
              <w:rPr>
                <w:sz w:val="18"/>
                <w:szCs w:val="18"/>
              </w:rPr>
            </w:pPr>
            <w:r>
              <w:rPr>
                <w:sz w:val="18"/>
                <w:szCs w:val="18"/>
              </w:rPr>
              <w:t>Accelerating learning through instructional approaches.</w:t>
            </w:r>
          </w:p>
          <w:p w14:paraId="47EC5944" w14:textId="77777777" w:rsidR="003339EA" w:rsidRDefault="003339EA">
            <w:pPr>
              <w:widowControl w:val="0"/>
              <w:spacing w:line="240" w:lineRule="auto"/>
              <w:rPr>
                <w:sz w:val="18"/>
                <w:szCs w:val="18"/>
              </w:rPr>
            </w:pPr>
          </w:p>
        </w:tc>
        <w:tc>
          <w:tcPr>
            <w:tcW w:w="3540" w:type="dxa"/>
            <w:shd w:val="clear" w:color="auto" w:fill="auto"/>
            <w:tcMar>
              <w:top w:w="100" w:type="dxa"/>
              <w:left w:w="100" w:type="dxa"/>
              <w:bottom w:w="100" w:type="dxa"/>
              <w:right w:w="100" w:type="dxa"/>
            </w:tcMar>
          </w:tcPr>
          <w:p w14:paraId="51295CC5" w14:textId="77777777" w:rsidR="003339EA" w:rsidRDefault="00AB2073">
            <w:pPr>
              <w:widowControl w:val="0"/>
              <w:spacing w:line="240" w:lineRule="auto"/>
              <w:rPr>
                <w:sz w:val="18"/>
                <w:szCs w:val="18"/>
              </w:rPr>
            </w:pPr>
            <w:r>
              <w:rPr>
                <w:sz w:val="18"/>
                <w:szCs w:val="18"/>
              </w:rPr>
              <w:t>Tutoring programs:</w:t>
            </w:r>
          </w:p>
          <w:p w14:paraId="3AD8CDF4" w14:textId="77777777" w:rsidR="003339EA" w:rsidRDefault="00AB2073">
            <w:pPr>
              <w:widowControl w:val="0"/>
              <w:spacing w:line="240" w:lineRule="auto"/>
              <w:rPr>
                <w:sz w:val="18"/>
                <w:szCs w:val="18"/>
              </w:rPr>
            </w:pPr>
            <w:r>
              <w:rPr>
                <w:sz w:val="18"/>
                <w:szCs w:val="18"/>
              </w:rPr>
              <w:t>High-dosage tutoring provided consistently by well-trained tutors or educators at least three days per week for at least 30 minutes at a time in groups of five or fewer students (effect size 1.29, Tier 3).</w:t>
            </w:r>
          </w:p>
        </w:tc>
        <w:tc>
          <w:tcPr>
            <w:tcW w:w="2340" w:type="dxa"/>
            <w:shd w:val="clear" w:color="auto" w:fill="auto"/>
            <w:tcMar>
              <w:top w:w="100" w:type="dxa"/>
              <w:left w:w="100" w:type="dxa"/>
              <w:bottom w:w="100" w:type="dxa"/>
              <w:right w:w="100" w:type="dxa"/>
            </w:tcMar>
          </w:tcPr>
          <w:p w14:paraId="2A61E20F" w14:textId="60002D62" w:rsidR="003339EA" w:rsidRDefault="00486545">
            <w:pPr>
              <w:widowControl w:val="0"/>
              <w:spacing w:line="240" w:lineRule="auto"/>
              <w:rPr>
                <w:sz w:val="18"/>
                <w:szCs w:val="18"/>
              </w:rPr>
            </w:pPr>
            <w:r>
              <w:rPr>
                <w:sz w:val="18"/>
                <w:szCs w:val="18"/>
              </w:rPr>
              <w:t>$25,000.00</w:t>
            </w:r>
          </w:p>
        </w:tc>
      </w:tr>
      <w:tr w:rsidR="003339EA" w14:paraId="77C1167B" w14:textId="77777777">
        <w:tc>
          <w:tcPr>
            <w:tcW w:w="1575" w:type="dxa"/>
            <w:shd w:val="clear" w:color="auto" w:fill="auto"/>
            <w:tcMar>
              <w:top w:w="100" w:type="dxa"/>
              <w:left w:w="100" w:type="dxa"/>
              <w:bottom w:w="100" w:type="dxa"/>
              <w:right w:w="100" w:type="dxa"/>
            </w:tcMar>
          </w:tcPr>
          <w:p w14:paraId="522D1B86" w14:textId="77777777" w:rsidR="003339EA" w:rsidRDefault="00AB2073">
            <w:pPr>
              <w:widowControl w:val="0"/>
              <w:spacing w:line="240" w:lineRule="auto"/>
              <w:rPr>
                <w:sz w:val="18"/>
                <w:szCs w:val="18"/>
              </w:rPr>
            </w:pPr>
            <w:r>
              <w:rPr>
                <w:sz w:val="18"/>
                <w:szCs w:val="18"/>
              </w:rPr>
              <w:t>170, 180,</w:t>
            </w:r>
          </w:p>
          <w:p w14:paraId="2785D127" w14:textId="77777777" w:rsidR="003339EA" w:rsidRDefault="00AB2073">
            <w:pPr>
              <w:widowControl w:val="0"/>
              <w:spacing w:line="240" w:lineRule="auto"/>
              <w:rPr>
                <w:sz w:val="18"/>
                <w:szCs w:val="18"/>
              </w:rPr>
            </w:pPr>
            <w:r>
              <w:rPr>
                <w:sz w:val="18"/>
                <w:szCs w:val="18"/>
              </w:rPr>
              <w:t>182, 184</w:t>
            </w:r>
          </w:p>
        </w:tc>
        <w:tc>
          <w:tcPr>
            <w:tcW w:w="1905" w:type="dxa"/>
            <w:shd w:val="clear" w:color="auto" w:fill="auto"/>
            <w:tcMar>
              <w:top w:w="100" w:type="dxa"/>
              <w:left w:w="100" w:type="dxa"/>
              <w:bottom w:w="100" w:type="dxa"/>
              <w:right w:w="100" w:type="dxa"/>
            </w:tcMar>
          </w:tcPr>
          <w:p w14:paraId="53B5871B" w14:textId="77777777" w:rsidR="003339EA" w:rsidRDefault="00AB2073">
            <w:pPr>
              <w:widowControl w:val="0"/>
              <w:spacing w:line="240" w:lineRule="auto"/>
              <w:rPr>
                <w:sz w:val="18"/>
                <w:szCs w:val="18"/>
              </w:rPr>
            </w:pPr>
            <w:r>
              <w:rPr>
                <w:sz w:val="18"/>
                <w:szCs w:val="18"/>
              </w:rPr>
              <w:t>Accelerating learning through instructional approaches.</w:t>
            </w:r>
          </w:p>
          <w:p w14:paraId="760CEAA6" w14:textId="77777777" w:rsidR="003339EA" w:rsidRDefault="003339EA">
            <w:pPr>
              <w:widowControl w:val="0"/>
              <w:spacing w:line="240" w:lineRule="auto"/>
              <w:rPr>
                <w:sz w:val="18"/>
                <w:szCs w:val="18"/>
              </w:rPr>
            </w:pPr>
          </w:p>
        </w:tc>
        <w:tc>
          <w:tcPr>
            <w:tcW w:w="3540" w:type="dxa"/>
            <w:shd w:val="clear" w:color="auto" w:fill="auto"/>
            <w:tcMar>
              <w:top w:w="100" w:type="dxa"/>
              <w:left w:w="100" w:type="dxa"/>
              <w:bottom w:w="100" w:type="dxa"/>
              <w:right w:w="100" w:type="dxa"/>
            </w:tcMar>
          </w:tcPr>
          <w:p w14:paraId="6892EC52" w14:textId="77777777" w:rsidR="003339EA" w:rsidRDefault="00AB2073">
            <w:pPr>
              <w:widowControl w:val="0"/>
              <w:spacing w:line="240" w:lineRule="auto"/>
              <w:rPr>
                <w:sz w:val="18"/>
                <w:szCs w:val="18"/>
              </w:rPr>
            </w:pPr>
            <w:r>
              <w:rPr>
                <w:sz w:val="18"/>
                <w:szCs w:val="18"/>
              </w:rPr>
              <w:t>Out-of-school time programs:</w:t>
            </w:r>
          </w:p>
          <w:p w14:paraId="6780F61B" w14:textId="77777777" w:rsidR="003339EA" w:rsidRDefault="00AB2073">
            <w:pPr>
              <w:widowControl w:val="0"/>
              <w:spacing w:line="240" w:lineRule="auto"/>
              <w:rPr>
                <w:sz w:val="18"/>
                <w:szCs w:val="18"/>
              </w:rPr>
            </w:pPr>
            <w:r>
              <w:rPr>
                <w:sz w:val="18"/>
                <w:szCs w:val="18"/>
              </w:rPr>
              <w:t>Educators target students needing additional support before, and after the regular school day, as well as on weekends and during school breaks programs, to deliver academic instruction (effect size .40-.60, Tier 3).</w:t>
            </w:r>
          </w:p>
        </w:tc>
        <w:tc>
          <w:tcPr>
            <w:tcW w:w="2340" w:type="dxa"/>
            <w:shd w:val="clear" w:color="auto" w:fill="auto"/>
            <w:tcMar>
              <w:top w:w="100" w:type="dxa"/>
              <w:left w:w="100" w:type="dxa"/>
              <w:bottom w:w="100" w:type="dxa"/>
              <w:right w:w="100" w:type="dxa"/>
            </w:tcMar>
          </w:tcPr>
          <w:p w14:paraId="596E4E5C" w14:textId="77777777" w:rsidR="003339EA" w:rsidRDefault="003339EA">
            <w:pPr>
              <w:widowControl w:val="0"/>
              <w:spacing w:line="240" w:lineRule="auto"/>
              <w:rPr>
                <w:sz w:val="18"/>
                <w:szCs w:val="18"/>
              </w:rPr>
            </w:pPr>
          </w:p>
        </w:tc>
      </w:tr>
      <w:tr w:rsidR="003339EA" w14:paraId="738924B6" w14:textId="77777777">
        <w:tc>
          <w:tcPr>
            <w:tcW w:w="1575" w:type="dxa"/>
            <w:shd w:val="clear" w:color="auto" w:fill="auto"/>
            <w:tcMar>
              <w:top w:w="100" w:type="dxa"/>
              <w:left w:w="100" w:type="dxa"/>
              <w:bottom w:w="100" w:type="dxa"/>
              <w:right w:w="100" w:type="dxa"/>
            </w:tcMar>
          </w:tcPr>
          <w:p w14:paraId="45885E93" w14:textId="77777777" w:rsidR="003339EA" w:rsidRDefault="00AB2073">
            <w:pPr>
              <w:widowControl w:val="0"/>
              <w:spacing w:line="240" w:lineRule="auto"/>
              <w:rPr>
                <w:sz w:val="18"/>
                <w:szCs w:val="18"/>
              </w:rPr>
            </w:pPr>
            <w:r>
              <w:rPr>
                <w:sz w:val="18"/>
                <w:szCs w:val="18"/>
              </w:rPr>
              <w:t>170, 180, 184</w:t>
            </w:r>
          </w:p>
        </w:tc>
        <w:tc>
          <w:tcPr>
            <w:tcW w:w="1905" w:type="dxa"/>
            <w:shd w:val="clear" w:color="auto" w:fill="auto"/>
            <w:tcMar>
              <w:top w:w="100" w:type="dxa"/>
              <w:left w:w="100" w:type="dxa"/>
              <w:bottom w:w="100" w:type="dxa"/>
              <w:right w:w="100" w:type="dxa"/>
            </w:tcMar>
          </w:tcPr>
          <w:p w14:paraId="1BA10AD7" w14:textId="77777777" w:rsidR="003339EA" w:rsidRDefault="00AB2073">
            <w:pPr>
              <w:widowControl w:val="0"/>
              <w:spacing w:line="240" w:lineRule="auto"/>
              <w:rPr>
                <w:sz w:val="18"/>
                <w:szCs w:val="18"/>
              </w:rPr>
            </w:pPr>
            <w:r>
              <w:rPr>
                <w:sz w:val="18"/>
                <w:szCs w:val="18"/>
              </w:rPr>
              <w:t>Accelerating learning through instructional approaches.</w:t>
            </w:r>
          </w:p>
          <w:p w14:paraId="0C29A0FE" w14:textId="77777777" w:rsidR="003339EA" w:rsidRDefault="003339EA">
            <w:pPr>
              <w:widowControl w:val="0"/>
              <w:spacing w:line="240" w:lineRule="auto"/>
              <w:rPr>
                <w:sz w:val="18"/>
                <w:szCs w:val="18"/>
              </w:rPr>
            </w:pPr>
          </w:p>
          <w:p w14:paraId="3411DD4E" w14:textId="77777777" w:rsidR="003339EA" w:rsidRDefault="003339EA">
            <w:pPr>
              <w:widowControl w:val="0"/>
              <w:spacing w:line="240" w:lineRule="auto"/>
              <w:rPr>
                <w:sz w:val="18"/>
                <w:szCs w:val="18"/>
              </w:rPr>
            </w:pPr>
          </w:p>
        </w:tc>
        <w:tc>
          <w:tcPr>
            <w:tcW w:w="3540" w:type="dxa"/>
            <w:shd w:val="clear" w:color="auto" w:fill="auto"/>
            <w:tcMar>
              <w:top w:w="100" w:type="dxa"/>
              <w:left w:w="100" w:type="dxa"/>
              <w:bottom w:w="100" w:type="dxa"/>
              <w:right w:w="100" w:type="dxa"/>
            </w:tcMar>
          </w:tcPr>
          <w:p w14:paraId="2C63D98C" w14:textId="77777777" w:rsidR="003339EA" w:rsidRDefault="00AB2073">
            <w:pPr>
              <w:widowControl w:val="0"/>
              <w:spacing w:line="240" w:lineRule="auto"/>
              <w:rPr>
                <w:sz w:val="18"/>
                <w:szCs w:val="18"/>
              </w:rPr>
            </w:pPr>
            <w:r>
              <w:rPr>
                <w:sz w:val="18"/>
                <w:szCs w:val="18"/>
              </w:rPr>
              <w:t>Summer learning and enrichment:</w:t>
            </w:r>
          </w:p>
          <w:p w14:paraId="0D9D8C08" w14:textId="77777777" w:rsidR="003339EA" w:rsidRDefault="00AB2073">
            <w:pPr>
              <w:widowControl w:val="0"/>
              <w:spacing w:line="240" w:lineRule="auto"/>
              <w:rPr>
                <w:sz w:val="18"/>
                <w:szCs w:val="18"/>
              </w:rPr>
            </w:pPr>
            <w:r>
              <w:rPr>
                <w:sz w:val="18"/>
                <w:szCs w:val="18"/>
              </w:rPr>
              <w:t>Summer learning programs, camps, community partnerships, work-based learning or community service that provide high-quality instruction and are designed to meet the social and emotional needs of students through engaging and enriching experiences (effect size .53-.58, Tier 3).</w:t>
            </w:r>
          </w:p>
        </w:tc>
        <w:tc>
          <w:tcPr>
            <w:tcW w:w="2340" w:type="dxa"/>
            <w:shd w:val="clear" w:color="auto" w:fill="auto"/>
            <w:tcMar>
              <w:top w:w="100" w:type="dxa"/>
              <w:left w:w="100" w:type="dxa"/>
              <w:bottom w:w="100" w:type="dxa"/>
              <w:right w:w="100" w:type="dxa"/>
            </w:tcMar>
          </w:tcPr>
          <w:p w14:paraId="7011BCE9" w14:textId="77777777" w:rsidR="003339EA" w:rsidRDefault="003339EA">
            <w:pPr>
              <w:widowControl w:val="0"/>
              <w:spacing w:line="240" w:lineRule="auto"/>
              <w:rPr>
                <w:sz w:val="18"/>
                <w:szCs w:val="18"/>
              </w:rPr>
            </w:pPr>
          </w:p>
        </w:tc>
      </w:tr>
      <w:tr w:rsidR="003339EA" w14:paraId="2EEBE731" w14:textId="77777777">
        <w:tc>
          <w:tcPr>
            <w:tcW w:w="1575" w:type="dxa"/>
            <w:shd w:val="clear" w:color="auto" w:fill="auto"/>
            <w:tcMar>
              <w:top w:w="100" w:type="dxa"/>
              <w:left w:w="100" w:type="dxa"/>
              <w:bottom w:w="100" w:type="dxa"/>
              <w:right w:w="100" w:type="dxa"/>
            </w:tcMar>
          </w:tcPr>
          <w:p w14:paraId="6F5253E0" w14:textId="77777777" w:rsidR="003339EA" w:rsidRDefault="00AB2073">
            <w:pPr>
              <w:widowControl w:val="0"/>
              <w:spacing w:line="240" w:lineRule="auto"/>
              <w:rPr>
                <w:sz w:val="18"/>
                <w:szCs w:val="18"/>
              </w:rPr>
            </w:pPr>
            <w:r>
              <w:rPr>
                <w:sz w:val="18"/>
                <w:szCs w:val="18"/>
              </w:rPr>
              <w:t>170, 180</w:t>
            </w:r>
          </w:p>
        </w:tc>
        <w:tc>
          <w:tcPr>
            <w:tcW w:w="1905" w:type="dxa"/>
            <w:shd w:val="clear" w:color="auto" w:fill="auto"/>
            <w:tcMar>
              <w:top w:w="100" w:type="dxa"/>
              <w:left w:w="100" w:type="dxa"/>
              <w:bottom w:w="100" w:type="dxa"/>
              <w:right w:w="100" w:type="dxa"/>
            </w:tcMar>
          </w:tcPr>
          <w:p w14:paraId="446898A8" w14:textId="77777777" w:rsidR="003339EA" w:rsidRDefault="00AB2073">
            <w:pPr>
              <w:widowControl w:val="0"/>
              <w:spacing w:line="240" w:lineRule="auto"/>
              <w:rPr>
                <w:sz w:val="18"/>
                <w:szCs w:val="18"/>
              </w:rPr>
            </w:pPr>
            <w:r>
              <w:rPr>
                <w:sz w:val="18"/>
                <w:szCs w:val="18"/>
              </w:rPr>
              <w:t>Supporting equitable access and effective use of technology</w:t>
            </w:r>
          </w:p>
          <w:p w14:paraId="7BB54E9A" w14:textId="77777777" w:rsidR="003339EA" w:rsidRDefault="003339EA">
            <w:pPr>
              <w:widowControl w:val="0"/>
              <w:spacing w:line="240" w:lineRule="auto"/>
              <w:rPr>
                <w:sz w:val="18"/>
                <w:szCs w:val="18"/>
              </w:rPr>
            </w:pPr>
          </w:p>
          <w:p w14:paraId="75956786" w14:textId="77777777" w:rsidR="003339EA" w:rsidRDefault="003339EA">
            <w:pPr>
              <w:widowControl w:val="0"/>
              <w:spacing w:line="240" w:lineRule="auto"/>
              <w:rPr>
                <w:sz w:val="18"/>
                <w:szCs w:val="18"/>
              </w:rPr>
            </w:pPr>
          </w:p>
        </w:tc>
        <w:tc>
          <w:tcPr>
            <w:tcW w:w="3540" w:type="dxa"/>
            <w:shd w:val="clear" w:color="auto" w:fill="auto"/>
            <w:tcMar>
              <w:top w:w="100" w:type="dxa"/>
              <w:left w:w="100" w:type="dxa"/>
              <w:bottom w:w="100" w:type="dxa"/>
              <w:right w:w="100" w:type="dxa"/>
            </w:tcMar>
          </w:tcPr>
          <w:p w14:paraId="7FB16A00" w14:textId="77777777" w:rsidR="003339EA" w:rsidRDefault="00AB2073">
            <w:pPr>
              <w:widowControl w:val="0"/>
              <w:spacing w:line="240" w:lineRule="auto"/>
              <w:rPr>
                <w:sz w:val="18"/>
                <w:szCs w:val="18"/>
              </w:rPr>
            </w:pPr>
            <w:r>
              <w:rPr>
                <w:sz w:val="18"/>
                <w:szCs w:val="18"/>
              </w:rPr>
              <w:t>Engage family in digital learning training and effectively using technology and platforms provided by the school (effect size .50, Tier 3).</w:t>
            </w:r>
          </w:p>
        </w:tc>
        <w:tc>
          <w:tcPr>
            <w:tcW w:w="2340" w:type="dxa"/>
            <w:shd w:val="clear" w:color="auto" w:fill="auto"/>
            <w:tcMar>
              <w:top w:w="100" w:type="dxa"/>
              <w:left w:w="100" w:type="dxa"/>
              <w:bottom w:w="100" w:type="dxa"/>
              <w:right w:w="100" w:type="dxa"/>
            </w:tcMar>
          </w:tcPr>
          <w:p w14:paraId="543C789C" w14:textId="4D000D71" w:rsidR="003339EA" w:rsidRDefault="00486545">
            <w:pPr>
              <w:widowControl w:val="0"/>
              <w:spacing w:line="240" w:lineRule="auto"/>
              <w:rPr>
                <w:sz w:val="18"/>
                <w:szCs w:val="18"/>
              </w:rPr>
            </w:pPr>
            <w:r>
              <w:rPr>
                <w:sz w:val="18"/>
                <w:szCs w:val="18"/>
              </w:rPr>
              <w:t>$5,000.00</w:t>
            </w:r>
          </w:p>
        </w:tc>
      </w:tr>
      <w:tr w:rsidR="003339EA" w14:paraId="22A54DEE" w14:textId="77777777">
        <w:tc>
          <w:tcPr>
            <w:tcW w:w="1575" w:type="dxa"/>
            <w:shd w:val="clear" w:color="auto" w:fill="auto"/>
            <w:tcMar>
              <w:top w:w="100" w:type="dxa"/>
              <w:left w:w="100" w:type="dxa"/>
              <w:bottom w:w="100" w:type="dxa"/>
              <w:right w:w="100" w:type="dxa"/>
            </w:tcMar>
          </w:tcPr>
          <w:p w14:paraId="2B111992" w14:textId="77777777" w:rsidR="003339EA" w:rsidRDefault="00AB2073">
            <w:pPr>
              <w:widowControl w:val="0"/>
              <w:spacing w:line="240" w:lineRule="auto"/>
              <w:rPr>
                <w:sz w:val="18"/>
                <w:szCs w:val="18"/>
              </w:rPr>
            </w:pPr>
            <w:r>
              <w:rPr>
                <w:sz w:val="18"/>
                <w:szCs w:val="18"/>
              </w:rPr>
              <w:t>180, 181, 182</w:t>
            </w:r>
          </w:p>
        </w:tc>
        <w:tc>
          <w:tcPr>
            <w:tcW w:w="1905" w:type="dxa"/>
            <w:shd w:val="clear" w:color="auto" w:fill="auto"/>
            <w:tcMar>
              <w:top w:w="100" w:type="dxa"/>
              <w:left w:w="100" w:type="dxa"/>
              <w:bottom w:w="100" w:type="dxa"/>
              <w:right w:w="100" w:type="dxa"/>
            </w:tcMar>
          </w:tcPr>
          <w:p w14:paraId="4A0EB68D" w14:textId="77777777" w:rsidR="003339EA" w:rsidRDefault="00AB2073">
            <w:pPr>
              <w:widowControl w:val="0"/>
              <w:spacing w:line="240" w:lineRule="auto"/>
              <w:rPr>
                <w:sz w:val="18"/>
                <w:szCs w:val="18"/>
              </w:rPr>
            </w:pPr>
            <w:r>
              <w:rPr>
                <w:sz w:val="18"/>
                <w:szCs w:val="18"/>
              </w:rPr>
              <w:t xml:space="preserve">Using data about students’ opportunity to </w:t>
            </w:r>
            <w:proofErr w:type="gramStart"/>
            <w:r>
              <w:rPr>
                <w:sz w:val="18"/>
                <w:szCs w:val="18"/>
              </w:rPr>
              <w:t>learning</w:t>
            </w:r>
            <w:proofErr w:type="gramEnd"/>
            <w:r>
              <w:rPr>
                <w:sz w:val="18"/>
                <w:szCs w:val="18"/>
              </w:rPr>
              <w:t xml:space="preserve"> to help target resources and support</w:t>
            </w:r>
          </w:p>
          <w:p w14:paraId="317E2820" w14:textId="77777777" w:rsidR="003339EA" w:rsidRDefault="003339EA">
            <w:pPr>
              <w:widowControl w:val="0"/>
              <w:spacing w:line="240" w:lineRule="auto"/>
              <w:rPr>
                <w:sz w:val="18"/>
                <w:szCs w:val="18"/>
              </w:rPr>
            </w:pPr>
          </w:p>
          <w:p w14:paraId="4FD6127D" w14:textId="77777777" w:rsidR="003339EA" w:rsidRDefault="003339EA">
            <w:pPr>
              <w:widowControl w:val="0"/>
              <w:spacing w:line="240" w:lineRule="auto"/>
              <w:rPr>
                <w:sz w:val="18"/>
                <w:szCs w:val="18"/>
              </w:rPr>
            </w:pPr>
          </w:p>
        </w:tc>
        <w:tc>
          <w:tcPr>
            <w:tcW w:w="3540" w:type="dxa"/>
            <w:shd w:val="clear" w:color="auto" w:fill="auto"/>
            <w:tcMar>
              <w:top w:w="100" w:type="dxa"/>
              <w:left w:w="100" w:type="dxa"/>
              <w:bottom w:w="100" w:type="dxa"/>
              <w:right w:w="100" w:type="dxa"/>
            </w:tcMar>
          </w:tcPr>
          <w:p w14:paraId="62902E75" w14:textId="77777777" w:rsidR="003339EA" w:rsidRDefault="00AB2073">
            <w:pPr>
              <w:widowControl w:val="0"/>
              <w:spacing w:line="240" w:lineRule="auto"/>
              <w:rPr>
                <w:sz w:val="18"/>
                <w:szCs w:val="18"/>
              </w:rPr>
            </w:pPr>
            <w:r>
              <w:rPr>
                <w:sz w:val="18"/>
                <w:szCs w:val="18"/>
              </w:rPr>
              <w:t>Utilize data to understand where and how resources should be allocated to address student access to opportunity to learn (OTL) indicators (effect size .75-1.29, Tier 3).</w:t>
            </w:r>
          </w:p>
        </w:tc>
        <w:tc>
          <w:tcPr>
            <w:tcW w:w="2340" w:type="dxa"/>
            <w:shd w:val="clear" w:color="auto" w:fill="auto"/>
            <w:tcMar>
              <w:top w:w="100" w:type="dxa"/>
              <w:left w:w="100" w:type="dxa"/>
              <w:bottom w:w="100" w:type="dxa"/>
              <w:right w:w="100" w:type="dxa"/>
            </w:tcMar>
          </w:tcPr>
          <w:p w14:paraId="505331AB" w14:textId="5D1181FA" w:rsidR="003339EA" w:rsidRDefault="00486545">
            <w:pPr>
              <w:widowControl w:val="0"/>
              <w:spacing w:line="240" w:lineRule="auto"/>
              <w:rPr>
                <w:sz w:val="18"/>
                <w:szCs w:val="18"/>
              </w:rPr>
            </w:pPr>
            <w:r>
              <w:rPr>
                <w:sz w:val="18"/>
                <w:szCs w:val="18"/>
              </w:rPr>
              <w:t>$5,000.00</w:t>
            </w:r>
          </w:p>
        </w:tc>
      </w:tr>
      <w:tr w:rsidR="003339EA" w14:paraId="1CC6A733" w14:textId="77777777">
        <w:tc>
          <w:tcPr>
            <w:tcW w:w="1575" w:type="dxa"/>
            <w:shd w:val="clear" w:color="auto" w:fill="auto"/>
            <w:tcMar>
              <w:top w:w="100" w:type="dxa"/>
              <w:left w:w="100" w:type="dxa"/>
              <w:bottom w:w="100" w:type="dxa"/>
              <w:right w:w="100" w:type="dxa"/>
            </w:tcMar>
          </w:tcPr>
          <w:p w14:paraId="3AAB7103" w14:textId="77777777" w:rsidR="003339EA" w:rsidRDefault="00AB2073">
            <w:pPr>
              <w:widowControl w:val="0"/>
              <w:spacing w:line="240" w:lineRule="auto"/>
              <w:rPr>
                <w:sz w:val="18"/>
                <w:szCs w:val="18"/>
              </w:rPr>
            </w:pPr>
            <w:r>
              <w:rPr>
                <w:sz w:val="18"/>
                <w:szCs w:val="18"/>
              </w:rPr>
              <w:t>170, 180, 182, 183, 184, 185</w:t>
            </w:r>
          </w:p>
        </w:tc>
        <w:tc>
          <w:tcPr>
            <w:tcW w:w="1905" w:type="dxa"/>
            <w:shd w:val="clear" w:color="auto" w:fill="auto"/>
            <w:tcMar>
              <w:top w:w="100" w:type="dxa"/>
              <w:left w:w="100" w:type="dxa"/>
              <w:bottom w:w="100" w:type="dxa"/>
              <w:right w:w="100" w:type="dxa"/>
            </w:tcMar>
          </w:tcPr>
          <w:p w14:paraId="5E1B59DA" w14:textId="77777777" w:rsidR="003339EA" w:rsidRDefault="00AB2073">
            <w:pPr>
              <w:widowControl w:val="0"/>
              <w:spacing w:line="240" w:lineRule="auto"/>
              <w:rPr>
                <w:sz w:val="18"/>
                <w:szCs w:val="18"/>
              </w:rPr>
            </w:pPr>
            <w:r>
              <w:rPr>
                <w:sz w:val="18"/>
                <w:szCs w:val="18"/>
              </w:rPr>
              <w:t>Addressing resource inequities</w:t>
            </w:r>
          </w:p>
        </w:tc>
        <w:tc>
          <w:tcPr>
            <w:tcW w:w="3540" w:type="dxa"/>
            <w:shd w:val="clear" w:color="auto" w:fill="auto"/>
            <w:tcMar>
              <w:top w:w="100" w:type="dxa"/>
              <w:left w:w="100" w:type="dxa"/>
              <w:bottom w:w="100" w:type="dxa"/>
              <w:right w:w="100" w:type="dxa"/>
            </w:tcMar>
          </w:tcPr>
          <w:p w14:paraId="5A52F143" w14:textId="77777777" w:rsidR="003339EA" w:rsidRDefault="00AB2073">
            <w:pPr>
              <w:widowControl w:val="0"/>
              <w:spacing w:line="240" w:lineRule="auto"/>
              <w:rPr>
                <w:sz w:val="18"/>
                <w:szCs w:val="18"/>
              </w:rPr>
            </w:pPr>
            <w:r>
              <w:rPr>
                <w:sz w:val="18"/>
                <w:szCs w:val="18"/>
              </w:rPr>
              <w:t>Ensure students have equitable access to a well-rounded education. (</w:t>
            </w:r>
            <w:proofErr w:type="gramStart"/>
            <w:r>
              <w:rPr>
                <w:sz w:val="18"/>
                <w:szCs w:val="18"/>
              </w:rPr>
              <w:t>based</w:t>
            </w:r>
            <w:proofErr w:type="gramEnd"/>
            <w:r>
              <w:rPr>
                <w:sz w:val="18"/>
                <w:szCs w:val="18"/>
              </w:rPr>
              <w:t xml:space="preserve"> on sub-</w:t>
            </w:r>
            <w:r>
              <w:rPr>
                <w:sz w:val="18"/>
                <w:szCs w:val="18"/>
              </w:rPr>
              <w:lastRenderedPageBreak/>
              <w:t>group data) (effect size 1.29, Tier 3)</w:t>
            </w:r>
          </w:p>
          <w:p w14:paraId="3AFE74DA" w14:textId="77777777" w:rsidR="003339EA" w:rsidRDefault="00AB2073">
            <w:pPr>
              <w:widowControl w:val="0"/>
              <w:spacing w:line="240" w:lineRule="auto"/>
              <w:rPr>
                <w:sz w:val="18"/>
                <w:szCs w:val="18"/>
              </w:rPr>
            </w:pPr>
            <w:r>
              <w:rPr>
                <w:sz w:val="18"/>
                <w:szCs w:val="18"/>
              </w:rPr>
              <w:t>-Advanced Coursework opportunities</w:t>
            </w:r>
          </w:p>
          <w:p w14:paraId="4ED59D0C" w14:textId="77777777" w:rsidR="003339EA" w:rsidRDefault="00AB2073">
            <w:pPr>
              <w:widowControl w:val="0"/>
              <w:spacing w:line="240" w:lineRule="auto"/>
              <w:rPr>
                <w:sz w:val="18"/>
                <w:szCs w:val="18"/>
              </w:rPr>
            </w:pPr>
            <w:r>
              <w:rPr>
                <w:sz w:val="18"/>
                <w:szCs w:val="18"/>
              </w:rPr>
              <w:t>-Inclusive Practices</w:t>
            </w:r>
          </w:p>
          <w:p w14:paraId="73F6A4A1" w14:textId="77777777" w:rsidR="003339EA" w:rsidRDefault="00AB2073">
            <w:pPr>
              <w:widowControl w:val="0"/>
              <w:spacing w:line="240" w:lineRule="auto"/>
              <w:rPr>
                <w:sz w:val="18"/>
                <w:szCs w:val="18"/>
              </w:rPr>
            </w:pPr>
            <w:r>
              <w:rPr>
                <w:sz w:val="18"/>
                <w:szCs w:val="18"/>
              </w:rPr>
              <w:t>-Well-prepared educators</w:t>
            </w:r>
          </w:p>
          <w:p w14:paraId="5816BB6F" w14:textId="77777777" w:rsidR="003339EA" w:rsidRDefault="003339EA">
            <w:pPr>
              <w:widowControl w:val="0"/>
              <w:spacing w:line="240" w:lineRule="auto"/>
              <w:rPr>
                <w:sz w:val="18"/>
                <w:szCs w:val="18"/>
              </w:rPr>
            </w:pPr>
          </w:p>
          <w:p w14:paraId="7B217068" w14:textId="77777777" w:rsidR="003339EA" w:rsidRDefault="003339EA">
            <w:pPr>
              <w:widowControl w:val="0"/>
              <w:spacing w:line="240" w:lineRule="auto"/>
              <w:rPr>
                <w:sz w:val="18"/>
                <w:szCs w:val="18"/>
              </w:rPr>
            </w:pPr>
          </w:p>
        </w:tc>
        <w:tc>
          <w:tcPr>
            <w:tcW w:w="2340" w:type="dxa"/>
            <w:shd w:val="clear" w:color="auto" w:fill="auto"/>
            <w:tcMar>
              <w:top w:w="100" w:type="dxa"/>
              <w:left w:w="100" w:type="dxa"/>
              <w:bottom w:w="100" w:type="dxa"/>
              <w:right w:w="100" w:type="dxa"/>
            </w:tcMar>
          </w:tcPr>
          <w:p w14:paraId="4CE232E0" w14:textId="77777777" w:rsidR="003339EA" w:rsidRDefault="003339EA">
            <w:pPr>
              <w:widowControl w:val="0"/>
              <w:spacing w:line="240" w:lineRule="auto"/>
              <w:rPr>
                <w:sz w:val="18"/>
                <w:szCs w:val="18"/>
              </w:rPr>
            </w:pPr>
          </w:p>
        </w:tc>
      </w:tr>
      <w:tr w:rsidR="003339EA" w14:paraId="117B6FB1" w14:textId="77777777">
        <w:tc>
          <w:tcPr>
            <w:tcW w:w="1575" w:type="dxa"/>
            <w:shd w:val="clear" w:color="auto" w:fill="auto"/>
            <w:tcMar>
              <w:top w:w="100" w:type="dxa"/>
              <w:left w:w="100" w:type="dxa"/>
              <w:bottom w:w="100" w:type="dxa"/>
              <w:right w:w="100" w:type="dxa"/>
            </w:tcMar>
          </w:tcPr>
          <w:p w14:paraId="0C09119E" w14:textId="77777777" w:rsidR="003339EA" w:rsidRDefault="00AB2073">
            <w:pPr>
              <w:widowControl w:val="0"/>
              <w:spacing w:line="240" w:lineRule="auto"/>
              <w:rPr>
                <w:sz w:val="18"/>
                <w:szCs w:val="18"/>
              </w:rPr>
            </w:pPr>
            <w:r>
              <w:rPr>
                <w:sz w:val="18"/>
                <w:szCs w:val="18"/>
              </w:rPr>
              <w:t>180, 182</w:t>
            </w:r>
          </w:p>
        </w:tc>
        <w:tc>
          <w:tcPr>
            <w:tcW w:w="1905" w:type="dxa"/>
            <w:shd w:val="clear" w:color="auto" w:fill="auto"/>
            <w:tcMar>
              <w:top w:w="100" w:type="dxa"/>
              <w:left w:w="100" w:type="dxa"/>
              <w:bottom w:w="100" w:type="dxa"/>
              <w:right w:w="100" w:type="dxa"/>
            </w:tcMar>
          </w:tcPr>
          <w:p w14:paraId="52F595D1" w14:textId="77777777" w:rsidR="003339EA" w:rsidRDefault="00AB2073">
            <w:pPr>
              <w:widowControl w:val="0"/>
              <w:spacing w:line="240" w:lineRule="auto"/>
              <w:rPr>
                <w:sz w:val="18"/>
                <w:szCs w:val="18"/>
              </w:rPr>
            </w:pPr>
            <w:r>
              <w:rPr>
                <w:sz w:val="18"/>
                <w:szCs w:val="18"/>
              </w:rPr>
              <w:t>Addressing resource inequities</w:t>
            </w:r>
          </w:p>
        </w:tc>
        <w:tc>
          <w:tcPr>
            <w:tcW w:w="3540" w:type="dxa"/>
            <w:shd w:val="clear" w:color="auto" w:fill="auto"/>
            <w:tcMar>
              <w:top w:w="100" w:type="dxa"/>
              <w:left w:w="100" w:type="dxa"/>
              <w:bottom w:w="100" w:type="dxa"/>
              <w:right w:w="100" w:type="dxa"/>
            </w:tcMar>
          </w:tcPr>
          <w:p w14:paraId="32814E57" w14:textId="77777777" w:rsidR="003339EA" w:rsidRDefault="00AB2073">
            <w:pPr>
              <w:widowControl w:val="0"/>
              <w:spacing w:line="240" w:lineRule="auto"/>
              <w:rPr>
                <w:sz w:val="18"/>
                <w:szCs w:val="18"/>
              </w:rPr>
            </w:pPr>
            <w:r>
              <w:rPr>
                <w:sz w:val="18"/>
                <w:szCs w:val="18"/>
              </w:rPr>
              <w:t>Provide wrap around services for students (effect size .44-.77, Tier 3)</w:t>
            </w:r>
          </w:p>
          <w:p w14:paraId="25A72A29" w14:textId="77777777" w:rsidR="003339EA" w:rsidRDefault="003339EA">
            <w:pPr>
              <w:widowControl w:val="0"/>
              <w:spacing w:line="240" w:lineRule="auto"/>
              <w:rPr>
                <w:sz w:val="18"/>
                <w:szCs w:val="18"/>
              </w:rPr>
            </w:pPr>
          </w:p>
        </w:tc>
        <w:tc>
          <w:tcPr>
            <w:tcW w:w="2340" w:type="dxa"/>
            <w:shd w:val="clear" w:color="auto" w:fill="auto"/>
            <w:tcMar>
              <w:top w:w="100" w:type="dxa"/>
              <w:left w:w="100" w:type="dxa"/>
              <w:bottom w:w="100" w:type="dxa"/>
              <w:right w:w="100" w:type="dxa"/>
            </w:tcMar>
          </w:tcPr>
          <w:p w14:paraId="19093679" w14:textId="77777777" w:rsidR="003339EA" w:rsidRDefault="003339EA">
            <w:pPr>
              <w:widowControl w:val="0"/>
              <w:spacing w:line="240" w:lineRule="auto"/>
              <w:rPr>
                <w:sz w:val="18"/>
                <w:szCs w:val="18"/>
              </w:rPr>
            </w:pPr>
          </w:p>
        </w:tc>
      </w:tr>
      <w:tr w:rsidR="003339EA" w14:paraId="3DB8C0C3" w14:textId="77777777">
        <w:tc>
          <w:tcPr>
            <w:tcW w:w="1575" w:type="dxa"/>
            <w:shd w:val="clear" w:color="auto" w:fill="auto"/>
            <w:tcMar>
              <w:top w:w="100" w:type="dxa"/>
              <w:left w:w="100" w:type="dxa"/>
              <w:bottom w:w="100" w:type="dxa"/>
              <w:right w:w="100" w:type="dxa"/>
            </w:tcMar>
          </w:tcPr>
          <w:p w14:paraId="47788176" w14:textId="77777777" w:rsidR="003339EA" w:rsidRDefault="00AB2073">
            <w:pPr>
              <w:widowControl w:val="0"/>
              <w:spacing w:line="240" w:lineRule="auto"/>
              <w:rPr>
                <w:sz w:val="18"/>
                <w:szCs w:val="18"/>
              </w:rPr>
            </w:pPr>
            <w:r>
              <w:rPr>
                <w:sz w:val="18"/>
                <w:szCs w:val="18"/>
              </w:rPr>
              <w:t>170, 180, 182, 183, 184, 185</w:t>
            </w:r>
          </w:p>
        </w:tc>
        <w:tc>
          <w:tcPr>
            <w:tcW w:w="1905" w:type="dxa"/>
            <w:shd w:val="clear" w:color="auto" w:fill="auto"/>
            <w:tcMar>
              <w:top w:w="100" w:type="dxa"/>
              <w:left w:w="100" w:type="dxa"/>
              <w:bottom w:w="100" w:type="dxa"/>
              <w:right w:w="100" w:type="dxa"/>
            </w:tcMar>
          </w:tcPr>
          <w:p w14:paraId="750B737D" w14:textId="77777777" w:rsidR="003339EA" w:rsidRDefault="00AB2073">
            <w:pPr>
              <w:widowControl w:val="0"/>
              <w:spacing w:line="240" w:lineRule="auto"/>
              <w:rPr>
                <w:sz w:val="18"/>
                <w:szCs w:val="18"/>
              </w:rPr>
            </w:pPr>
            <w:r>
              <w:rPr>
                <w:sz w:val="18"/>
                <w:szCs w:val="18"/>
              </w:rPr>
              <w:t>Addressing resource inequities</w:t>
            </w:r>
          </w:p>
        </w:tc>
        <w:tc>
          <w:tcPr>
            <w:tcW w:w="3540" w:type="dxa"/>
            <w:shd w:val="clear" w:color="auto" w:fill="auto"/>
            <w:tcMar>
              <w:top w:w="100" w:type="dxa"/>
              <w:left w:w="100" w:type="dxa"/>
              <w:bottom w:w="100" w:type="dxa"/>
              <w:right w:w="100" w:type="dxa"/>
            </w:tcMar>
          </w:tcPr>
          <w:p w14:paraId="535A8AA1" w14:textId="77777777" w:rsidR="003339EA" w:rsidRDefault="00AB2073">
            <w:pPr>
              <w:widowControl w:val="0"/>
              <w:spacing w:line="240" w:lineRule="auto"/>
              <w:rPr>
                <w:sz w:val="18"/>
                <w:szCs w:val="18"/>
              </w:rPr>
            </w:pPr>
            <w:r>
              <w:rPr>
                <w:sz w:val="18"/>
                <w:szCs w:val="18"/>
              </w:rPr>
              <w:t>Evidence-based practices that maximize students’ social, emotional, and academic benefits.</w:t>
            </w:r>
          </w:p>
          <w:p w14:paraId="53852505" w14:textId="77777777" w:rsidR="003339EA" w:rsidRDefault="00AB2073">
            <w:pPr>
              <w:widowControl w:val="0"/>
              <w:spacing w:line="240" w:lineRule="auto"/>
              <w:rPr>
                <w:sz w:val="18"/>
                <w:szCs w:val="18"/>
              </w:rPr>
            </w:pPr>
            <w:r>
              <w:rPr>
                <w:sz w:val="18"/>
                <w:szCs w:val="18"/>
              </w:rPr>
              <w:t>-Professional Learning Communities (Tier 2)</w:t>
            </w:r>
          </w:p>
          <w:p w14:paraId="35EA0530" w14:textId="77777777" w:rsidR="003339EA" w:rsidRDefault="003339EA">
            <w:pPr>
              <w:widowControl w:val="0"/>
              <w:spacing w:line="240" w:lineRule="auto"/>
              <w:rPr>
                <w:sz w:val="18"/>
                <w:szCs w:val="18"/>
              </w:rPr>
            </w:pPr>
          </w:p>
        </w:tc>
        <w:tc>
          <w:tcPr>
            <w:tcW w:w="2340" w:type="dxa"/>
            <w:shd w:val="clear" w:color="auto" w:fill="auto"/>
            <w:tcMar>
              <w:top w:w="100" w:type="dxa"/>
              <w:left w:w="100" w:type="dxa"/>
              <w:bottom w:w="100" w:type="dxa"/>
              <w:right w:w="100" w:type="dxa"/>
            </w:tcMar>
          </w:tcPr>
          <w:p w14:paraId="6DD5CA24" w14:textId="783F1C2B" w:rsidR="003339EA" w:rsidRDefault="00486545">
            <w:pPr>
              <w:widowControl w:val="0"/>
              <w:spacing w:line="240" w:lineRule="auto"/>
              <w:rPr>
                <w:sz w:val="18"/>
                <w:szCs w:val="18"/>
              </w:rPr>
            </w:pPr>
            <w:r>
              <w:rPr>
                <w:sz w:val="18"/>
                <w:szCs w:val="18"/>
              </w:rPr>
              <w:t>$5,000.00</w:t>
            </w:r>
          </w:p>
        </w:tc>
      </w:tr>
      <w:tr w:rsidR="003339EA" w14:paraId="30816995" w14:textId="77777777">
        <w:tc>
          <w:tcPr>
            <w:tcW w:w="1575" w:type="dxa"/>
            <w:shd w:val="clear" w:color="auto" w:fill="auto"/>
            <w:tcMar>
              <w:top w:w="100" w:type="dxa"/>
              <w:left w:w="100" w:type="dxa"/>
              <w:bottom w:w="100" w:type="dxa"/>
              <w:right w:w="100" w:type="dxa"/>
            </w:tcMar>
          </w:tcPr>
          <w:p w14:paraId="73C7D214" w14:textId="77777777" w:rsidR="003339EA" w:rsidRDefault="003339EA">
            <w:pPr>
              <w:widowControl w:val="0"/>
              <w:spacing w:line="240" w:lineRule="auto"/>
              <w:rPr>
                <w:sz w:val="18"/>
                <w:szCs w:val="18"/>
              </w:rPr>
            </w:pPr>
          </w:p>
        </w:tc>
        <w:tc>
          <w:tcPr>
            <w:tcW w:w="1905" w:type="dxa"/>
            <w:shd w:val="clear" w:color="auto" w:fill="auto"/>
            <w:tcMar>
              <w:top w:w="100" w:type="dxa"/>
              <w:left w:w="100" w:type="dxa"/>
              <w:bottom w:w="100" w:type="dxa"/>
              <w:right w:w="100" w:type="dxa"/>
            </w:tcMar>
          </w:tcPr>
          <w:p w14:paraId="53D32FEB" w14:textId="77777777" w:rsidR="003339EA" w:rsidRDefault="003339EA">
            <w:pPr>
              <w:widowControl w:val="0"/>
              <w:spacing w:line="240" w:lineRule="auto"/>
              <w:rPr>
                <w:sz w:val="18"/>
                <w:szCs w:val="18"/>
              </w:rPr>
            </w:pPr>
          </w:p>
        </w:tc>
        <w:tc>
          <w:tcPr>
            <w:tcW w:w="3540" w:type="dxa"/>
            <w:shd w:val="clear" w:color="auto" w:fill="auto"/>
            <w:tcMar>
              <w:top w:w="100" w:type="dxa"/>
              <w:left w:w="100" w:type="dxa"/>
              <w:bottom w:w="100" w:type="dxa"/>
              <w:right w:w="100" w:type="dxa"/>
            </w:tcMar>
          </w:tcPr>
          <w:p w14:paraId="67E21E83" w14:textId="77777777" w:rsidR="003339EA" w:rsidRDefault="003339EA">
            <w:pPr>
              <w:widowControl w:val="0"/>
              <w:spacing w:line="240" w:lineRule="auto"/>
              <w:rPr>
                <w:sz w:val="18"/>
                <w:szCs w:val="18"/>
              </w:rPr>
            </w:pPr>
          </w:p>
        </w:tc>
        <w:tc>
          <w:tcPr>
            <w:tcW w:w="2340" w:type="dxa"/>
            <w:shd w:val="clear" w:color="auto" w:fill="auto"/>
            <w:tcMar>
              <w:top w:w="100" w:type="dxa"/>
              <w:left w:w="100" w:type="dxa"/>
              <w:bottom w:w="100" w:type="dxa"/>
              <w:right w:w="100" w:type="dxa"/>
            </w:tcMar>
          </w:tcPr>
          <w:p w14:paraId="68B9871E" w14:textId="77777777" w:rsidR="003339EA" w:rsidRDefault="003339EA">
            <w:pPr>
              <w:widowControl w:val="0"/>
              <w:spacing w:line="240" w:lineRule="auto"/>
              <w:rPr>
                <w:sz w:val="18"/>
                <w:szCs w:val="18"/>
              </w:rPr>
            </w:pPr>
          </w:p>
        </w:tc>
      </w:tr>
      <w:tr w:rsidR="003339EA" w14:paraId="0F48E3B9" w14:textId="77777777">
        <w:tc>
          <w:tcPr>
            <w:tcW w:w="1575" w:type="dxa"/>
            <w:shd w:val="clear" w:color="auto" w:fill="auto"/>
            <w:tcMar>
              <w:top w:w="100" w:type="dxa"/>
              <w:left w:w="100" w:type="dxa"/>
              <w:bottom w:w="100" w:type="dxa"/>
              <w:right w:w="100" w:type="dxa"/>
            </w:tcMar>
          </w:tcPr>
          <w:p w14:paraId="6FBC513E" w14:textId="77777777" w:rsidR="003339EA" w:rsidRDefault="003339EA">
            <w:pPr>
              <w:widowControl w:val="0"/>
              <w:spacing w:line="240" w:lineRule="auto"/>
              <w:rPr>
                <w:sz w:val="18"/>
                <w:szCs w:val="18"/>
              </w:rPr>
            </w:pPr>
          </w:p>
        </w:tc>
        <w:tc>
          <w:tcPr>
            <w:tcW w:w="1905" w:type="dxa"/>
            <w:shd w:val="clear" w:color="auto" w:fill="auto"/>
            <w:tcMar>
              <w:top w:w="100" w:type="dxa"/>
              <w:left w:w="100" w:type="dxa"/>
              <w:bottom w:w="100" w:type="dxa"/>
              <w:right w:w="100" w:type="dxa"/>
            </w:tcMar>
          </w:tcPr>
          <w:p w14:paraId="2685A8BE" w14:textId="77777777" w:rsidR="003339EA" w:rsidRDefault="003339EA">
            <w:pPr>
              <w:widowControl w:val="0"/>
              <w:spacing w:line="240" w:lineRule="auto"/>
              <w:rPr>
                <w:sz w:val="18"/>
                <w:szCs w:val="18"/>
              </w:rPr>
            </w:pPr>
          </w:p>
        </w:tc>
        <w:tc>
          <w:tcPr>
            <w:tcW w:w="3540" w:type="dxa"/>
            <w:shd w:val="clear" w:color="auto" w:fill="auto"/>
            <w:tcMar>
              <w:top w:w="100" w:type="dxa"/>
              <w:left w:w="100" w:type="dxa"/>
              <w:bottom w:w="100" w:type="dxa"/>
              <w:right w:w="100" w:type="dxa"/>
            </w:tcMar>
          </w:tcPr>
          <w:p w14:paraId="70A7462E" w14:textId="77777777" w:rsidR="003339EA" w:rsidRDefault="003339EA">
            <w:pPr>
              <w:widowControl w:val="0"/>
              <w:spacing w:line="240" w:lineRule="auto"/>
              <w:rPr>
                <w:sz w:val="18"/>
                <w:szCs w:val="18"/>
              </w:rPr>
            </w:pPr>
          </w:p>
        </w:tc>
        <w:tc>
          <w:tcPr>
            <w:tcW w:w="2340" w:type="dxa"/>
            <w:shd w:val="clear" w:color="auto" w:fill="auto"/>
            <w:tcMar>
              <w:top w:w="100" w:type="dxa"/>
              <w:left w:w="100" w:type="dxa"/>
              <w:bottom w:w="100" w:type="dxa"/>
              <w:right w:w="100" w:type="dxa"/>
            </w:tcMar>
          </w:tcPr>
          <w:p w14:paraId="5C3C45A6" w14:textId="77777777" w:rsidR="003339EA" w:rsidRDefault="003339EA">
            <w:pPr>
              <w:widowControl w:val="0"/>
              <w:spacing w:line="240" w:lineRule="auto"/>
              <w:rPr>
                <w:sz w:val="18"/>
                <w:szCs w:val="18"/>
              </w:rPr>
            </w:pPr>
          </w:p>
        </w:tc>
      </w:tr>
    </w:tbl>
    <w:p w14:paraId="7A54F1B1" w14:textId="77777777" w:rsidR="003339EA" w:rsidRDefault="003339EA"/>
    <w:p w14:paraId="27C90A10" w14:textId="77777777" w:rsidR="003339EA" w:rsidRDefault="00AB2073">
      <w:r>
        <w:t xml:space="preserve">2.A.  </w:t>
      </w:r>
      <w:r>
        <w:rPr>
          <w:b/>
        </w:rPr>
        <w:t>Process for Monitoring Implementation</w:t>
      </w:r>
      <w:r>
        <w:t>: Describe how the LEA will</w:t>
      </w:r>
      <w:r>
        <w:rPr>
          <w:u w:val="single"/>
        </w:rPr>
        <w:t xml:space="preserve"> ensure that the interventions it implements</w:t>
      </w:r>
      <w:r>
        <w:t xml:space="preserve">, including but not limited to the interventions implemented under Section 2001 (e) (1) of the ARP Act to address the academic impact of lost instruction time, </w:t>
      </w:r>
      <w:r>
        <w:rPr>
          <w:u w:val="single"/>
        </w:rPr>
        <w:t>will respond</w:t>
      </w:r>
      <w:r>
        <w:t xml:space="preserve"> to the academic, social, emotional, and mental health needs of all students, and particularly those students disproportionately impacted by the COVID-19 pandemic, including students from low-income families, students of color, English learners, children with disabilities, students experiencing homelessness, children in foster care, and migratory students. </w:t>
      </w:r>
    </w:p>
    <w:tbl>
      <w:tblPr>
        <w:tblStyle w:val="a4"/>
        <w:tblW w:w="9300"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00"/>
      </w:tblGrid>
      <w:tr w:rsidR="003339EA" w14:paraId="0B1871BA" w14:textId="77777777">
        <w:tc>
          <w:tcPr>
            <w:tcW w:w="9300" w:type="dxa"/>
            <w:shd w:val="clear" w:color="auto" w:fill="auto"/>
            <w:tcMar>
              <w:top w:w="100" w:type="dxa"/>
              <w:left w:w="100" w:type="dxa"/>
              <w:bottom w:w="100" w:type="dxa"/>
              <w:right w:w="100" w:type="dxa"/>
            </w:tcMar>
          </w:tcPr>
          <w:p w14:paraId="6693DDE7" w14:textId="77777777" w:rsidR="003339EA" w:rsidRDefault="00AB2073">
            <w:pPr>
              <w:widowControl w:val="0"/>
              <w:spacing w:line="240" w:lineRule="auto"/>
            </w:pPr>
            <w:r>
              <w:t>Description:</w:t>
            </w:r>
          </w:p>
          <w:p w14:paraId="2AA1512D" w14:textId="370403DE" w:rsidR="003339EA" w:rsidRPr="00834939" w:rsidRDefault="00404557" w:rsidP="00404557">
            <w:pPr>
              <w:widowControl w:val="0"/>
              <w:spacing w:line="240" w:lineRule="auto"/>
              <w:rPr>
                <w:rFonts w:ascii="Verdana" w:hAnsi="Verdana"/>
                <w:color w:val="808080"/>
                <w:sz w:val="20"/>
                <w:szCs w:val="20"/>
                <w:shd w:val="clear" w:color="auto" w:fill="FFFFFF"/>
              </w:rPr>
            </w:pPr>
            <w:r>
              <w:rPr>
                <w:rFonts w:ascii="Verdana" w:hAnsi="Verdana"/>
                <w:color w:val="808080"/>
                <w:sz w:val="18"/>
                <w:szCs w:val="18"/>
                <w:shd w:val="clear" w:color="auto" w:fill="FFFFFF"/>
              </w:rPr>
              <w:t> </w:t>
            </w:r>
            <w:r w:rsidRPr="00834939">
              <w:rPr>
                <w:rFonts w:ascii="Verdana" w:hAnsi="Verdana"/>
                <w:color w:val="808080"/>
                <w:sz w:val="20"/>
                <w:szCs w:val="20"/>
                <w:shd w:val="clear" w:color="auto" w:fill="FFFFFF"/>
              </w:rPr>
              <w:t xml:space="preserve">Imboden Area Charter School has developed and implemented a well-rounded program of instruction to meet the academic needs of all students. Each year, IACS staff conducts a needs assessment where the data from ACT Aspire, STAR Assessments and </w:t>
            </w:r>
            <w:proofErr w:type="spellStart"/>
            <w:r w:rsidRPr="00834939">
              <w:rPr>
                <w:rFonts w:ascii="Verdana" w:hAnsi="Verdana"/>
                <w:color w:val="808080"/>
                <w:sz w:val="20"/>
                <w:szCs w:val="20"/>
                <w:shd w:val="clear" w:color="auto" w:fill="FFFFFF"/>
              </w:rPr>
              <w:t>Istation</w:t>
            </w:r>
            <w:proofErr w:type="spellEnd"/>
            <w:r w:rsidRPr="00834939">
              <w:rPr>
                <w:rFonts w:ascii="Verdana" w:hAnsi="Verdana"/>
                <w:color w:val="808080"/>
                <w:sz w:val="20"/>
                <w:szCs w:val="20"/>
                <w:shd w:val="clear" w:color="auto" w:fill="FFFFFF"/>
              </w:rPr>
              <w:t xml:space="preserve"> testing is collected and analyzed to determine strengths, gaps, and areas of critical need. Instructional strategies are then planned </w:t>
            </w:r>
            <w:proofErr w:type="gramStart"/>
            <w:r w:rsidRPr="00834939">
              <w:rPr>
                <w:rFonts w:ascii="Verdana" w:hAnsi="Verdana"/>
                <w:color w:val="808080"/>
                <w:sz w:val="20"/>
                <w:szCs w:val="20"/>
                <w:shd w:val="clear" w:color="auto" w:fill="FFFFFF"/>
              </w:rPr>
              <w:t>using</w:t>
            </w:r>
            <w:proofErr w:type="gramEnd"/>
            <w:r w:rsidRPr="00834939">
              <w:rPr>
                <w:rFonts w:ascii="Verdana" w:hAnsi="Verdana"/>
                <w:color w:val="808080"/>
                <w:sz w:val="20"/>
                <w:szCs w:val="20"/>
                <w:shd w:val="clear" w:color="auto" w:fill="FFFFFF"/>
              </w:rPr>
              <w:t xml:space="preserve"> scientifically-based research, and the learning needs of all students are addressed.  Any deficits are noted, and a plan is developed to intervene with specialized instruction in areas of need. Progress monitoring occurs every six weeks during the school year to assure students are making adequate progress. Students not meeting progress goals are recommended for additional after school interventions.  IACS provides after school interventions for students who exhibit deficits in Reading or Math. Small group and individualized instruction are utilized for every student in any areas in which the student may need extra assistance or more time to learn. IACS annually reviews and analyzes the effectiveness of the program by measuring the performance and growth achievement of students on the literacy and mathematics portion of the state tests.</w:t>
            </w:r>
            <w:r w:rsidR="006A0E78" w:rsidRPr="00834939">
              <w:rPr>
                <w:rFonts w:ascii="Verdana" w:hAnsi="Verdana"/>
                <w:color w:val="808080"/>
                <w:sz w:val="20"/>
                <w:szCs w:val="20"/>
                <w:shd w:val="clear" w:color="auto" w:fill="FFFFFF"/>
              </w:rPr>
              <w:t xml:space="preserve">  ESSER ARP funds will be utilized to purchase any additional learning materials necessary to provide all students with a fully individualized curriculum.</w:t>
            </w:r>
          </w:p>
          <w:p w14:paraId="5A20D525" w14:textId="77777777" w:rsidR="00404557" w:rsidRPr="00834939" w:rsidRDefault="00404557" w:rsidP="00404557">
            <w:pPr>
              <w:widowControl w:val="0"/>
              <w:spacing w:line="240" w:lineRule="auto"/>
              <w:rPr>
                <w:rFonts w:ascii="Verdana" w:hAnsi="Verdana"/>
                <w:color w:val="808080"/>
                <w:sz w:val="20"/>
                <w:szCs w:val="20"/>
                <w:shd w:val="clear" w:color="auto" w:fill="FFFFFF"/>
              </w:rPr>
            </w:pPr>
          </w:p>
          <w:p w14:paraId="124F3E9C" w14:textId="15B511EA" w:rsidR="00404557" w:rsidRPr="00834939" w:rsidRDefault="00404557" w:rsidP="003C0CD8">
            <w:pPr>
              <w:widowControl w:val="0"/>
              <w:spacing w:line="240" w:lineRule="auto"/>
              <w:rPr>
                <w:rFonts w:ascii="Verdana" w:hAnsi="Verdana"/>
                <w:color w:val="808080"/>
                <w:sz w:val="20"/>
                <w:szCs w:val="20"/>
                <w:shd w:val="clear" w:color="auto" w:fill="FFFFFF"/>
              </w:rPr>
            </w:pPr>
            <w:r w:rsidRPr="00834939">
              <w:rPr>
                <w:rFonts w:ascii="Verdana" w:hAnsi="Verdana"/>
                <w:color w:val="808080"/>
                <w:sz w:val="20"/>
                <w:szCs w:val="20"/>
                <w:shd w:val="clear" w:color="auto" w:fill="FFFFFF"/>
              </w:rPr>
              <w:t xml:space="preserve">Imboden Area Charter School has appointed a Homeless Liaison who ensures that all homeless students are identified. The </w:t>
            </w:r>
            <w:proofErr w:type="gramStart"/>
            <w:r w:rsidRPr="00834939">
              <w:rPr>
                <w:rFonts w:ascii="Verdana" w:hAnsi="Verdana"/>
                <w:color w:val="808080"/>
                <w:sz w:val="20"/>
                <w:szCs w:val="20"/>
                <w:shd w:val="clear" w:color="auto" w:fill="FFFFFF"/>
              </w:rPr>
              <w:t>School</w:t>
            </w:r>
            <w:proofErr w:type="gramEnd"/>
            <w:r w:rsidRPr="00834939">
              <w:rPr>
                <w:rFonts w:ascii="Verdana" w:hAnsi="Verdana"/>
                <w:color w:val="808080"/>
                <w:sz w:val="20"/>
                <w:szCs w:val="20"/>
                <w:shd w:val="clear" w:color="auto" w:fill="FFFFFF"/>
              </w:rPr>
              <w:t xml:space="preserve"> </w:t>
            </w:r>
            <w:r w:rsidR="00C47FBC" w:rsidRPr="00834939">
              <w:rPr>
                <w:rFonts w:ascii="Verdana" w:hAnsi="Verdana"/>
                <w:color w:val="808080"/>
                <w:sz w:val="20"/>
                <w:szCs w:val="20"/>
                <w:shd w:val="clear" w:color="auto" w:fill="FFFFFF"/>
              </w:rPr>
              <w:t>will set</w:t>
            </w:r>
            <w:r w:rsidRPr="00834939">
              <w:rPr>
                <w:rFonts w:ascii="Verdana" w:hAnsi="Verdana"/>
                <w:color w:val="808080"/>
                <w:sz w:val="20"/>
                <w:szCs w:val="20"/>
                <w:shd w:val="clear" w:color="auto" w:fill="FFFFFF"/>
              </w:rPr>
              <w:t xml:space="preserve"> aside </w:t>
            </w:r>
            <w:r w:rsidR="00C47FBC" w:rsidRPr="00834939">
              <w:rPr>
                <w:rFonts w:ascii="Verdana" w:hAnsi="Verdana"/>
                <w:color w:val="808080"/>
                <w:sz w:val="20"/>
                <w:szCs w:val="20"/>
                <w:shd w:val="clear" w:color="auto" w:fill="FFFFFF"/>
              </w:rPr>
              <w:t xml:space="preserve">additional </w:t>
            </w:r>
            <w:r w:rsidR="003C0CD8" w:rsidRPr="00834939">
              <w:rPr>
                <w:rFonts w:ascii="Verdana" w:hAnsi="Verdana"/>
                <w:color w:val="808080"/>
                <w:sz w:val="20"/>
                <w:szCs w:val="20"/>
                <w:shd w:val="clear" w:color="auto" w:fill="FFFFFF"/>
              </w:rPr>
              <w:t xml:space="preserve">ESSER ARP </w:t>
            </w:r>
            <w:r w:rsidRPr="00834939">
              <w:rPr>
                <w:rFonts w:ascii="Verdana" w:hAnsi="Verdana"/>
                <w:color w:val="808080"/>
                <w:sz w:val="20"/>
                <w:szCs w:val="20"/>
                <w:shd w:val="clear" w:color="auto" w:fill="FFFFFF"/>
              </w:rPr>
              <w:t xml:space="preserve">funds that would support children experiencing homelessness by ensuring that barriers are removed that might prevent regular attendance, and that students have access to </w:t>
            </w:r>
            <w:r w:rsidRPr="00834939">
              <w:rPr>
                <w:rFonts w:ascii="Verdana" w:hAnsi="Verdana"/>
                <w:color w:val="808080"/>
                <w:sz w:val="20"/>
                <w:szCs w:val="20"/>
                <w:shd w:val="clear" w:color="auto" w:fill="FFFFFF"/>
              </w:rPr>
              <w:lastRenderedPageBreak/>
              <w:t>transportation, clothing, supplies, and health needs so that they may participate fully in the educational process.</w:t>
            </w:r>
          </w:p>
          <w:p w14:paraId="76C162DA" w14:textId="77777777" w:rsidR="00404557" w:rsidRPr="00834939" w:rsidRDefault="00404557" w:rsidP="00404557">
            <w:pPr>
              <w:widowControl w:val="0"/>
              <w:spacing w:line="240" w:lineRule="auto"/>
              <w:rPr>
                <w:rFonts w:ascii="Verdana" w:hAnsi="Verdana"/>
                <w:color w:val="808080"/>
                <w:sz w:val="20"/>
                <w:szCs w:val="20"/>
                <w:shd w:val="clear" w:color="auto" w:fill="FFFFFF"/>
              </w:rPr>
            </w:pPr>
          </w:p>
          <w:p w14:paraId="0456C64C" w14:textId="77777777" w:rsidR="00404557" w:rsidRPr="00834939" w:rsidRDefault="00404557" w:rsidP="00404557">
            <w:pPr>
              <w:widowControl w:val="0"/>
              <w:spacing w:line="240" w:lineRule="auto"/>
              <w:rPr>
                <w:rFonts w:ascii="Verdana" w:hAnsi="Verdana"/>
                <w:color w:val="808080"/>
                <w:sz w:val="20"/>
                <w:szCs w:val="20"/>
                <w:shd w:val="clear" w:color="auto" w:fill="FFFFFF"/>
              </w:rPr>
            </w:pPr>
            <w:r w:rsidRPr="00834939">
              <w:rPr>
                <w:rFonts w:ascii="Verdana" w:hAnsi="Verdana"/>
                <w:color w:val="808080"/>
                <w:sz w:val="20"/>
                <w:szCs w:val="20"/>
                <w:shd w:val="clear" w:color="auto" w:fill="FFFFFF"/>
              </w:rPr>
              <w:t xml:space="preserve">Imboden Area Charter School is a single school district with a large </w:t>
            </w:r>
            <w:proofErr w:type="gramStart"/>
            <w:r w:rsidRPr="00834939">
              <w:rPr>
                <w:rFonts w:ascii="Verdana" w:hAnsi="Verdana"/>
                <w:color w:val="808080"/>
                <w:sz w:val="20"/>
                <w:szCs w:val="20"/>
                <w:shd w:val="clear" w:color="auto" w:fill="FFFFFF"/>
              </w:rPr>
              <w:t>low income</w:t>
            </w:r>
            <w:proofErr w:type="gramEnd"/>
            <w:r w:rsidRPr="00834939">
              <w:rPr>
                <w:rFonts w:ascii="Verdana" w:hAnsi="Verdana"/>
                <w:color w:val="808080"/>
                <w:sz w:val="20"/>
                <w:szCs w:val="20"/>
                <w:shd w:val="clear" w:color="auto" w:fill="FFFFFF"/>
              </w:rPr>
              <w:t xml:space="preserve"> population, and a very small minority population.  There are only four full time teachers two of whom have fewer than five years of experience, and two who are 10 plus year veterans.  Teachers are paired in the building to where a veteran teacher and a young teacher are neighbors.  This offers the young teacher the opportunity to seek advice at any time.  School administration does multiple classroom walkthroughs per day and offers advice as needed.  All staff meets once weekly as a PLC to discuss strategies to become more effective.  IACS has no out-of-field teachers.</w:t>
            </w:r>
          </w:p>
          <w:p w14:paraId="22615577" w14:textId="0521A4F1" w:rsidR="00404557" w:rsidRDefault="00404557" w:rsidP="00404557">
            <w:pPr>
              <w:widowControl w:val="0"/>
              <w:spacing w:line="240" w:lineRule="auto"/>
            </w:pPr>
          </w:p>
        </w:tc>
      </w:tr>
    </w:tbl>
    <w:p w14:paraId="43CFA897" w14:textId="77777777" w:rsidR="003339EA" w:rsidRDefault="003339EA"/>
    <w:p w14:paraId="10836F4B" w14:textId="77777777" w:rsidR="003339EA" w:rsidRDefault="00AB2073">
      <w:r>
        <w:t xml:space="preserve">2.B. </w:t>
      </w:r>
      <w:r>
        <w:rPr>
          <w:b/>
        </w:rPr>
        <w:t xml:space="preserve">Process for Evaluating Implementation: </w:t>
      </w:r>
      <w:r>
        <w:t xml:space="preserve">Please describe how the LEA will </w:t>
      </w:r>
      <w:r>
        <w:rPr>
          <w:u w:val="single"/>
        </w:rPr>
        <w:t>evaluate</w:t>
      </w:r>
      <w:r>
        <w:t xml:space="preserve"> the effectiveness of these interventions.</w:t>
      </w:r>
    </w:p>
    <w:tbl>
      <w:tblPr>
        <w:tblStyle w:val="a5"/>
        <w:tblW w:w="933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30"/>
      </w:tblGrid>
      <w:tr w:rsidR="003339EA" w14:paraId="2FCDBB73" w14:textId="77777777">
        <w:tc>
          <w:tcPr>
            <w:tcW w:w="9330" w:type="dxa"/>
            <w:shd w:val="clear" w:color="auto" w:fill="auto"/>
            <w:tcMar>
              <w:top w:w="100" w:type="dxa"/>
              <w:left w:w="100" w:type="dxa"/>
              <w:bottom w:w="100" w:type="dxa"/>
              <w:right w:w="100" w:type="dxa"/>
            </w:tcMar>
          </w:tcPr>
          <w:p w14:paraId="1D5139D5" w14:textId="77777777" w:rsidR="003339EA" w:rsidRDefault="00AB2073">
            <w:pPr>
              <w:widowControl w:val="0"/>
              <w:spacing w:line="240" w:lineRule="auto"/>
            </w:pPr>
            <w:r>
              <w:t>Evaluation:</w:t>
            </w:r>
          </w:p>
          <w:p w14:paraId="5CCDB8EB" w14:textId="5B3BF1E7" w:rsidR="00404557" w:rsidRDefault="00404557">
            <w:pPr>
              <w:widowControl w:val="0"/>
              <w:spacing w:line="240" w:lineRule="auto"/>
              <w:rPr>
                <w:rFonts w:ascii="Verdana" w:hAnsi="Verdana"/>
                <w:color w:val="808080"/>
                <w:sz w:val="18"/>
                <w:szCs w:val="18"/>
                <w:shd w:val="clear" w:color="auto" w:fill="FFFFFF"/>
              </w:rPr>
            </w:pPr>
          </w:p>
          <w:p w14:paraId="25BBFF4A" w14:textId="2D836FF7" w:rsidR="00404557" w:rsidRDefault="003C0CD8">
            <w:pPr>
              <w:widowControl w:val="0"/>
              <w:spacing w:line="240" w:lineRule="auto"/>
            </w:pPr>
            <w:r>
              <w:t xml:space="preserve">Effectiveness of ESSER ARP funded interventions will be measured every six weeks by measuring the amount of growth in reading and mathematics students achieve.  Additional data will be collected periodically throughout the year using the </w:t>
            </w:r>
            <w:proofErr w:type="spellStart"/>
            <w:r>
              <w:t>Istation</w:t>
            </w:r>
            <w:proofErr w:type="spellEnd"/>
            <w:r>
              <w:t xml:space="preserve"> </w:t>
            </w:r>
            <w:r w:rsidR="00834939">
              <w:t>assessment tool.  Final evaluation will occur following the release of ACT Aspire testing scores in the spring.</w:t>
            </w:r>
          </w:p>
          <w:p w14:paraId="215AB490" w14:textId="77777777" w:rsidR="003339EA" w:rsidRDefault="003339EA">
            <w:pPr>
              <w:widowControl w:val="0"/>
              <w:spacing w:line="240" w:lineRule="auto"/>
            </w:pPr>
          </w:p>
        </w:tc>
      </w:tr>
    </w:tbl>
    <w:p w14:paraId="029CFB08" w14:textId="77777777" w:rsidR="003339EA" w:rsidRDefault="003339EA">
      <w:pPr>
        <w:ind w:left="720"/>
      </w:pPr>
    </w:p>
    <w:p w14:paraId="5B57039F" w14:textId="77777777" w:rsidR="003339EA" w:rsidRDefault="003339EA"/>
    <w:p w14:paraId="3432E0ED" w14:textId="77777777" w:rsidR="003339EA" w:rsidRDefault="00AB2073">
      <w:pPr>
        <w:numPr>
          <w:ilvl w:val="0"/>
          <w:numId w:val="2"/>
        </w:numPr>
      </w:pPr>
      <w:r>
        <w:rPr>
          <w:b/>
        </w:rPr>
        <w:t xml:space="preserve"> Supporting Educator and Staff Stability and Well-Being:</w:t>
      </w:r>
      <w:r>
        <w:t xml:space="preserve">   Determine if ARP funds will be used to support educator and staff stability and well-being consistent with Section 2001 (e) (2) of the ARP Act.  Districts may select evidence-based practices (pre-filled below) included in the LEA Plan for Use of ARP ESSER Funds or add additional rows to describe the practice and evidence that will be utilized by the district.</w:t>
      </w: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75"/>
        <w:gridCol w:w="1830"/>
        <w:gridCol w:w="3615"/>
        <w:gridCol w:w="2340"/>
      </w:tblGrid>
      <w:tr w:rsidR="003339EA" w14:paraId="0D4A207F" w14:textId="77777777">
        <w:tc>
          <w:tcPr>
            <w:tcW w:w="1575" w:type="dxa"/>
            <w:shd w:val="clear" w:color="auto" w:fill="auto"/>
            <w:tcMar>
              <w:top w:w="100" w:type="dxa"/>
              <w:left w:w="100" w:type="dxa"/>
              <w:bottom w:w="100" w:type="dxa"/>
              <w:right w:w="100" w:type="dxa"/>
            </w:tcMar>
          </w:tcPr>
          <w:p w14:paraId="1EEBBFBD" w14:textId="77777777" w:rsidR="003339EA" w:rsidRDefault="00AB2073">
            <w:pPr>
              <w:widowControl w:val="0"/>
              <w:spacing w:line="240" w:lineRule="auto"/>
            </w:pPr>
            <w:r>
              <w:t>Program Code</w:t>
            </w:r>
          </w:p>
        </w:tc>
        <w:tc>
          <w:tcPr>
            <w:tcW w:w="1830" w:type="dxa"/>
            <w:shd w:val="clear" w:color="auto" w:fill="auto"/>
            <w:tcMar>
              <w:top w:w="100" w:type="dxa"/>
              <w:left w:w="100" w:type="dxa"/>
              <w:bottom w:w="100" w:type="dxa"/>
              <w:right w:w="100" w:type="dxa"/>
            </w:tcMar>
          </w:tcPr>
          <w:p w14:paraId="55276EC1" w14:textId="77777777" w:rsidR="003339EA" w:rsidRDefault="00AB2073">
            <w:r>
              <w:t>Practice</w:t>
            </w:r>
          </w:p>
        </w:tc>
        <w:tc>
          <w:tcPr>
            <w:tcW w:w="3615" w:type="dxa"/>
            <w:shd w:val="clear" w:color="auto" w:fill="auto"/>
            <w:tcMar>
              <w:top w:w="100" w:type="dxa"/>
              <w:left w:w="100" w:type="dxa"/>
              <w:bottom w:w="100" w:type="dxa"/>
              <w:right w:w="100" w:type="dxa"/>
            </w:tcMar>
          </w:tcPr>
          <w:p w14:paraId="64D0CBAF" w14:textId="77777777" w:rsidR="003339EA" w:rsidRDefault="00AB2073">
            <w:pPr>
              <w:widowControl w:val="0"/>
              <w:spacing w:line="240" w:lineRule="auto"/>
            </w:pPr>
            <w:r>
              <w:t>Description</w:t>
            </w:r>
          </w:p>
        </w:tc>
        <w:tc>
          <w:tcPr>
            <w:tcW w:w="2340" w:type="dxa"/>
            <w:shd w:val="clear" w:color="auto" w:fill="auto"/>
            <w:tcMar>
              <w:top w:w="100" w:type="dxa"/>
              <w:left w:w="100" w:type="dxa"/>
              <w:bottom w:w="100" w:type="dxa"/>
              <w:right w:w="100" w:type="dxa"/>
            </w:tcMar>
          </w:tcPr>
          <w:p w14:paraId="3922F628" w14:textId="77777777" w:rsidR="003339EA" w:rsidRDefault="00AB2073">
            <w:pPr>
              <w:widowControl w:val="0"/>
              <w:spacing w:line="240" w:lineRule="auto"/>
            </w:pPr>
            <w:r>
              <w:t>Projected Amount</w:t>
            </w:r>
          </w:p>
        </w:tc>
      </w:tr>
      <w:tr w:rsidR="003339EA" w14:paraId="1832282B" w14:textId="77777777">
        <w:tc>
          <w:tcPr>
            <w:tcW w:w="1575" w:type="dxa"/>
            <w:shd w:val="clear" w:color="auto" w:fill="auto"/>
            <w:tcMar>
              <w:top w:w="100" w:type="dxa"/>
              <w:left w:w="100" w:type="dxa"/>
              <w:bottom w:w="100" w:type="dxa"/>
              <w:right w:w="100" w:type="dxa"/>
            </w:tcMar>
          </w:tcPr>
          <w:p w14:paraId="6FCD51F2" w14:textId="77777777" w:rsidR="003339EA" w:rsidRDefault="00AB2073">
            <w:pPr>
              <w:widowControl w:val="0"/>
              <w:spacing w:line="240" w:lineRule="auto"/>
              <w:rPr>
                <w:sz w:val="18"/>
                <w:szCs w:val="18"/>
              </w:rPr>
            </w:pPr>
            <w:r>
              <w:rPr>
                <w:sz w:val="18"/>
                <w:szCs w:val="18"/>
              </w:rPr>
              <w:t>185</w:t>
            </w:r>
          </w:p>
        </w:tc>
        <w:tc>
          <w:tcPr>
            <w:tcW w:w="1830" w:type="dxa"/>
            <w:shd w:val="clear" w:color="auto" w:fill="auto"/>
            <w:tcMar>
              <w:top w:w="100" w:type="dxa"/>
              <w:left w:w="100" w:type="dxa"/>
              <w:bottom w:w="100" w:type="dxa"/>
              <w:right w:w="100" w:type="dxa"/>
            </w:tcMar>
          </w:tcPr>
          <w:p w14:paraId="32CD9864" w14:textId="77777777" w:rsidR="003339EA" w:rsidRDefault="00AB2073">
            <w:pPr>
              <w:widowControl w:val="0"/>
              <w:spacing w:line="240" w:lineRule="auto"/>
              <w:rPr>
                <w:sz w:val="18"/>
                <w:szCs w:val="18"/>
              </w:rPr>
            </w:pPr>
            <w:r>
              <w:rPr>
                <w:sz w:val="18"/>
                <w:szCs w:val="18"/>
              </w:rPr>
              <w:t>Technology</w:t>
            </w:r>
          </w:p>
        </w:tc>
        <w:tc>
          <w:tcPr>
            <w:tcW w:w="3615" w:type="dxa"/>
            <w:shd w:val="clear" w:color="auto" w:fill="auto"/>
            <w:tcMar>
              <w:top w:w="100" w:type="dxa"/>
              <w:left w:w="100" w:type="dxa"/>
              <w:bottom w:w="100" w:type="dxa"/>
              <w:right w:w="100" w:type="dxa"/>
            </w:tcMar>
          </w:tcPr>
          <w:p w14:paraId="145C0853" w14:textId="77777777" w:rsidR="003339EA" w:rsidRDefault="00AB2073">
            <w:pPr>
              <w:widowControl w:val="0"/>
              <w:spacing w:line="240" w:lineRule="auto"/>
              <w:rPr>
                <w:sz w:val="18"/>
                <w:szCs w:val="18"/>
              </w:rPr>
            </w:pPr>
            <w:r>
              <w:rPr>
                <w:sz w:val="18"/>
                <w:szCs w:val="18"/>
              </w:rPr>
              <w:t>Technology that supports learning and enables students to learn anywhere and for teachers to teach essential standards.</w:t>
            </w:r>
          </w:p>
        </w:tc>
        <w:tc>
          <w:tcPr>
            <w:tcW w:w="2340" w:type="dxa"/>
            <w:shd w:val="clear" w:color="auto" w:fill="auto"/>
            <w:tcMar>
              <w:top w:w="100" w:type="dxa"/>
              <w:left w:w="100" w:type="dxa"/>
              <w:bottom w:w="100" w:type="dxa"/>
              <w:right w:w="100" w:type="dxa"/>
            </w:tcMar>
          </w:tcPr>
          <w:p w14:paraId="29B82362" w14:textId="2F772F2D" w:rsidR="003339EA" w:rsidRDefault="00486545">
            <w:pPr>
              <w:widowControl w:val="0"/>
              <w:spacing w:line="240" w:lineRule="auto"/>
              <w:rPr>
                <w:sz w:val="18"/>
                <w:szCs w:val="18"/>
              </w:rPr>
            </w:pPr>
            <w:r>
              <w:rPr>
                <w:sz w:val="18"/>
                <w:szCs w:val="18"/>
              </w:rPr>
              <w:t>$</w:t>
            </w:r>
            <w:r w:rsidR="00FB3496">
              <w:rPr>
                <w:sz w:val="18"/>
                <w:szCs w:val="18"/>
              </w:rPr>
              <w:t>3</w:t>
            </w:r>
            <w:r>
              <w:rPr>
                <w:sz w:val="18"/>
                <w:szCs w:val="18"/>
              </w:rPr>
              <w:t>0,000.00</w:t>
            </w:r>
          </w:p>
        </w:tc>
      </w:tr>
      <w:tr w:rsidR="003339EA" w14:paraId="0795EBEF" w14:textId="77777777">
        <w:tc>
          <w:tcPr>
            <w:tcW w:w="1575" w:type="dxa"/>
            <w:shd w:val="clear" w:color="auto" w:fill="auto"/>
            <w:tcMar>
              <w:top w:w="100" w:type="dxa"/>
              <w:left w:w="100" w:type="dxa"/>
              <w:bottom w:w="100" w:type="dxa"/>
              <w:right w:w="100" w:type="dxa"/>
            </w:tcMar>
          </w:tcPr>
          <w:p w14:paraId="573BAAA0" w14:textId="77777777" w:rsidR="003339EA" w:rsidRDefault="00AB2073">
            <w:pPr>
              <w:widowControl w:val="0"/>
              <w:spacing w:line="240" w:lineRule="auto"/>
              <w:rPr>
                <w:sz w:val="18"/>
                <w:szCs w:val="18"/>
              </w:rPr>
            </w:pPr>
            <w:r>
              <w:rPr>
                <w:sz w:val="18"/>
                <w:szCs w:val="18"/>
              </w:rPr>
              <w:t>160, 180</w:t>
            </w:r>
          </w:p>
        </w:tc>
        <w:tc>
          <w:tcPr>
            <w:tcW w:w="1830" w:type="dxa"/>
            <w:shd w:val="clear" w:color="auto" w:fill="auto"/>
            <w:tcMar>
              <w:top w:w="100" w:type="dxa"/>
              <w:left w:w="100" w:type="dxa"/>
              <w:bottom w:w="100" w:type="dxa"/>
              <w:right w:w="100" w:type="dxa"/>
            </w:tcMar>
          </w:tcPr>
          <w:p w14:paraId="270D8E06" w14:textId="77777777" w:rsidR="003339EA" w:rsidRDefault="00AB2073">
            <w:pPr>
              <w:widowControl w:val="0"/>
              <w:spacing w:line="240" w:lineRule="auto"/>
              <w:rPr>
                <w:sz w:val="18"/>
                <w:szCs w:val="18"/>
              </w:rPr>
            </w:pPr>
            <w:r>
              <w:rPr>
                <w:sz w:val="18"/>
                <w:szCs w:val="18"/>
              </w:rPr>
              <w:t>Additional pay</w:t>
            </w:r>
          </w:p>
        </w:tc>
        <w:tc>
          <w:tcPr>
            <w:tcW w:w="3615" w:type="dxa"/>
            <w:shd w:val="clear" w:color="auto" w:fill="auto"/>
            <w:tcMar>
              <w:top w:w="100" w:type="dxa"/>
              <w:left w:w="100" w:type="dxa"/>
              <w:bottom w:w="100" w:type="dxa"/>
              <w:right w:w="100" w:type="dxa"/>
            </w:tcMar>
          </w:tcPr>
          <w:p w14:paraId="4E0E441C" w14:textId="77777777" w:rsidR="003339EA" w:rsidRDefault="00AB2073">
            <w:pPr>
              <w:widowControl w:val="0"/>
              <w:spacing w:line="240" w:lineRule="auto"/>
              <w:rPr>
                <w:sz w:val="18"/>
                <w:szCs w:val="18"/>
              </w:rPr>
            </w:pPr>
            <w:r>
              <w:rPr>
                <w:sz w:val="18"/>
                <w:szCs w:val="18"/>
              </w:rPr>
              <w:t>COVID-19 related expenditures related to preventing disruptions and closures.  Recruitment and retention of a diverse and qualified educator workforce.</w:t>
            </w:r>
          </w:p>
        </w:tc>
        <w:tc>
          <w:tcPr>
            <w:tcW w:w="2340" w:type="dxa"/>
            <w:shd w:val="clear" w:color="auto" w:fill="auto"/>
            <w:tcMar>
              <w:top w:w="100" w:type="dxa"/>
              <w:left w:w="100" w:type="dxa"/>
              <w:bottom w:w="100" w:type="dxa"/>
              <w:right w:w="100" w:type="dxa"/>
            </w:tcMar>
          </w:tcPr>
          <w:p w14:paraId="1457CE66" w14:textId="2993C9F2" w:rsidR="003339EA" w:rsidRDefault="00486545">
            <w:pPr>
              <w:widowControl w:val="0"/>
              <w:spacing w:line="240" w:lineRule="auto"/>
              <w:rPr>
                <w:sz w:val="18"/>
                <w:szCs w:val="18"/>
              </w:rPr>
            </w:pPr>
            <w:r>
              <w:rPr>
                <w:sz w:val="18"/>
                <w:szCs w:val="18"/>
              </w:rPr>
              <w:t>$</w:t>
            </w:r>
            <w:r w:rsidR="00FB3496">
              <w:rPr>
                <w:sz w:val="18"/>
                <w:szCs w:val="18"/>
              </w:rPr>
              <w:t>6</w:t>
            </w:r>
            <w:r>
              <w:rPr>
                <w:sz w:val="18"/>
                <w:szCs w:val="18"/>
              </w:rPr>
              <w:t>0,000.00</w:t>
            </w:r>
          </w:p>
        </w:tc>
      </w:tr>
      <w:tr w:rsidR="003339EA" w14:paraId="69865631" w14:textId="77777777">
        <w:tc>
          <w:tcPr>
            <w:tcW w:w="1575" w:type="dxa"/>
            <w:shd w:val="clear" w:color="auto" w:fill="auto"/>
            <w:tcMar>
              <w:top w:w="100" w:type="dxa"/>
              <w:left w:w="100" w:type="dxa"/>
              <w:bottom w:w="100" w:type="dxa"/>
              <w:right w:w="100" w:type="dxa"/>
            </w:tcMar>
          </w:tcPr>
          <w:p w14:paraId="1D88F13D" w14:textId="77777777" w:rsidR="003339EA" w:rsidRDefault="00AB2073">
            <w:pPr>
              <w:widowControl w:val="0"/>
              <w:spacing w:line="240" w:lineRule="auto"/>
              <w:rPr>
                <w:sz w:val="18"/>
                <w:szCs w:val="18"/>
              </w:rPr>
            </w:pPr>
            <w:r>
              <w:rPr>
                <w:sz w:val="18"/>
                <w:szCs w:val="18"/>
              </w:rPr>
              <w:t>191</w:t>
            </w:r>
          </w:p>
        </w:tc>
        <w:tc>
          <w:tcPr>
            <w:tcW w:w="1830" w:type="dxa"/>
            <w:shd w:val="clear" w:color="auto" w:fill="auto"/>
            <w:tcMar>
              <w:top w:w="100" w:type="dxa"/>
              <w:left w:w="100" w:type="dxa"/>
              <w:bottom w:w="100" w:type="dxa"/>
              <w:right w:w="100" w:type="dxa"/>
            </w:tcMar>
          </w:tcPr>
          <w:p w14:paraId="299B7A97" w14:textId="77777777" w:rsidR="003339EA" w:rsidRDefault="00AB2073">
            <w:pPr>
              <w:widowControl w:val="0"/>
              <w:spacing w:line="240" w:lineRule="auto"/>
              <w:rPr>
                <w:sz w:val="18"/>
                <w:szCs w:val="18"/>
              </w:rPr>
            </w:pPr>
            <w:r>
              <w:rPr>
                <w:sz w:val="18"/>
                <w:szCs w:val="18"/>
              </w:rPr>
              <w:t>Maintenance of Equity</w:t>
            </w:r>
          </w:p>
        </w:tc>
        <w:tc>
          <w:tcPr>
            <w:tcW w:w="3615" w:type="dxa"/>
            <w:shd w:val="clear" w:color="auto" w:fill="auto"/>
            <w:tcMar>
              <w:top w:w="100" w:type="dxa"/>
              <w:left w:w="100" w:type="dxa"/>
              <w:bottom w:w="100" w:type="dxa"/>
              <w:right w:w="100" w:type="dxa"/>
            </w:tcMar>
          </w:tcPr>
          <w:p w14:paraId="4CBACCFE" w14:textId="77777777" w:rsidR="003339EA" w:rsidRDefault="00AB2073">
            <w:pPr>
              <w:widowControl w:val="0"/>
              <w:spacing w:line="240" w:lineRule="auto"/>
              <w:rPr>
                <w:sz w:val="18"/>
                <w:szCs w:val="18"/>
              </w:rPr>
            </w:pPr>
            <w:r>
              <w:rPr>
                <w:sz w:val="18"/>
                <w:szCs w:val="18"/>
              </w:rPr>
              <w:t>Continue operations without disruption including employment, programs and addressing budget shortfalls.</w:t>
            </w:r>
          </w:p>
        </w:tc>
        <w:tc>
          <w:tcPr>
            <w:tcW w:w="2340" w:type="dxa"/>
            <w:shd w:val="clear" w:color="auto" w:fill="auto"/>
            <w:tcMar>
              <w:top w:w="100" w:type="dxa"/>
              <w:left w:w="100" w:type="dxa"/>
              <w:bottom w:w="100" w:type="dxa"/>
              <w:right w:w="100" w:type="dxa"/>
            </w:tcMar>
          </w:tcPr>
          <w:p w14:paraId="355719D2" w14:textId="538C1CA1" w:rsidR="003339EA" w:rsidRDefault="00486545">
            <w:pPr>
              <w:widowControl w:val="0"/>
              <w:spacing w:line="240" w:lineRule="auto"/>
              <w:rPr>
                <w:sz w:val="18"/>
                <w:szCs w:val="18"/>
              </w:rPr>
            </w:pPr>
            <w:r>
              <w:rPr>
                <w:sz w:val="18"/>
                <w:szCs w:val="18"/>
              </w:rPr>
              <w:t>$10,000.00</w:t>
            </w:r>
          </w:p>
        </w:tc>
      </w:tr>
      <w:tr w:rsidR="003339EA" w14:paraId="51AC99B3" w14:textId="77777777">
        <w:tc>
          <w:tcPr>
            <w:tcW w:w="1575" w:type="dxa"/>
            <w:shd w:val="clear" w:color="auto" w:fill="auto"/>
            <w:tcMar>
              <w:top w:w="100" w:type="dxa"/>
              <w:left w:w="100" w:type="dxa"/>
              <w:bottom w:w="100" w:type="dxa"/>
              <w:right w:w="100" w:type="dxa"/>
            </w:tcMar>
          </w:tcPr>
          <w:p w14:paraId="61A58BE3" w14:textId="77777777" w:rsidR="003339EA" w:rsidRDefault="003339EA">
            <w:pPr>
              <w:widowControl w:val="0"/>
              <w:spacing w:line="240" w:lineRule="auto"/>
              <w:rPr>
                <w:sz w:val="18"/>
                <w:szCs w:val="18"/>
                <w:highlight w:val="yellow"/>
              </w:rPr>
            </w:pPr>
          </w:p>
        </w:tc>
        <w:tc>
          <w:tcPr>
            <w:tcW w:w="1830" w:type="dxa"/>
            <w:shd w:val="clear" w:color="auto" w:fill="auto"/>
            <w:tcMar>
              <w:top w:w="100" w:type="dxa"/>
              <w:left w:w="100" w:type="dxa"/>
              <w:bottom w:w="100" w:type="dxa"/>
              <w:right w:w="100" w:type="dxa"/>
            </w:tcMar>
          </w:tcPr>
          <w:p w14:paraId="26F4677F" w14:textId="77777777" w:rsidR="003339EA" w:rsidRDefault="003339EA">
            <w:pPr>
              <w:widowControl w:val="0"/>
              <w:spacing w:line="240" w:lineRule="auto"/>
              <w:rPr>
                <w:sz w:val="18"/>
                <w:szCs w:val="18"/>
              </w:rPr>
            </w:pPr>
          </w:p>
        </w:tc>
        <w:tc>
          <w:tcPr>
            <w:tcW w:w="3615" w:type="dxa"/>
            <w:shd w:val="clear" w:color="auto" w:fill="auto"/>
            <w:tcMar>
              <w:top w:w="100" w:type="dxa"/>
              <w:left w:w="100" w:type="dxa"/>
              <w:bottom w:w="100" w:type="dxa"/>
              <w:right w:w="100" w:type="dxa"/>
            </w:tcMar>
          </w:tcPr>
          <w:p w14:paraId="0933396C" w14:textId="77777777" w:rsidR="003339EA" w:rsidRDefault="003339EA">
            <w:pPr>
              <w:widowControl w:val="0"/>
              <w:spacing w:line="240" w:lineRule="auto"/>
              <w:rPr>
                <w:sz w:val="18"/>
                <w:szCs w:val="18"/>
              </w:rPr>
            </w:pPr>
          </w:p>
        </w:tc>
        <w:tc>
          <w:tcPr>
            <w:tcW w:w="2340" w:type="dxa"/>
            <w:shd w:val="clear" w:color="auto" w:fill="auto"/>
            <w:tcMar>
              <w:top w:w="100" w:type="dxa"/>
              <w:left w:w="100" w:type="dxa"/>
              <w:bottom w:w="100" w:type="dxa"/>
              <w:right w:w="100" w:type="dxa"/>
            </w:tcMar>
          </w:tcPr>
          <w:p w14:paraId="0D2EA640" w14:textId="77777777" w:rsidR="003339EA" w:rsidRDefault="003339EA">
            <w:pPr>
              <w:widowControl w:val="0"/>
              <w:spacing w:line="240" w:lineRule="auto"/>
              <w:rPr>
                <w:sz w:val="18"/>
                <w:szCs w:val="18"/>
              </w:rPr>
            </w:pPr>
          </w:p>
        </w:tc>
      </w:tr>
      <w:tr w:rsidR="003339EA" w14:paraId="6FEB56FB" w14:textId="77777777">
        <w:tc>
          <w:tcPr>
            <w:tcW w:w="1575" w:type="dxa"/>
            <w:shd w:val="clear" w:color="auto" w:fill="auto"/>
            <w:tcMar>
              <w:top w:w="100" w:type="dxa"/>
              <w:left w:w="100" w:type="dxa"/>
              <w:bottom w:w="100" w:type="dxa"/>
              <w:right w:w="100" w:type="dxa"/>
            </w:tcMar>
          </w:tcPr>
          <w:p w14:paraId="6591478F" w14:textId="77777777" w:rsidR="003339EA" w:rsidRDefault="003339EA">
            <w:pPr>
              <w:widowControl w:val="0"/>
              <w:spacing w:line="240" w:lineRule="auto"/>
              <w:rPr>
                <w:sz w:val="18"/>
                <w:szCs w:val="18"/>
                <w:highlight w:val="yellow"/>
              </w:rPr>
            </w:pPr>
          </w:p>
        </w:tc>
        <w:tc>
          <w:tcPr>
            <w:tcW w:w="1830" w:type="dxa"/>
            <w:shd w:val="clear" w:color="auto" w:fill="auto"/>
            <w:tcMar>
              <w:top w:w="100" w:type="dxa"/>
              <w:left w:w="100" w:type="dxa"/>
              <w:bottom w:w="100" w:type="dxa"/>
              <w:right w:w="100" w:type="dxa"/>
            </w:tcMar>
          </w:tcPr>
          <w:p w14:paraId="1173297F" w14:textId="77777777" w:rsidR="003339EA" w:rsidRDefault="003339EA">
            <w:pPr>
              <w:widowControl w:val="0"/>
              <w:spacing w:line="240" w:lineRule="auto"/>
              <w:rPr>
                <w:sz w:val="18"/>
                <w:szCs w:val="18"/>
              </w:rPr>
            </w:pPr>
          </w:p>
        </w:tc>
        <w:tc>
          <w:tcPr>
            <w:tcW w:w="3615" w:type="dxa"/>
            <w:shd w:val="clear" w:color="auto" w:fill="auto"/>
            <w:tcMar>
              <w:top w:w="100" w:type="dxa"/>
              <w:left w:w="100" w:type="dxa"/>
              <w:bottom w:w="100" w:type="dxa"/>
              <w:right w:w="100" w:type="dxa"/>
            </w:tcMar>
          </w:tcPr>
          <w:p w14:paraId="0A0B99DF" w14:textId="77777777" w:rsidR="003339EA" w:rsidRDefault="003339EA">
            <w:pPr>
              <w:widowControl w:val="0"/>
              <w:spacing w:line="240" w:lineRule="auto"/>
              <w:rPr>
                <w:sz w:val="18"/>
                <w:szCs w:val="18"/>
              </w:rPr>
            </w:pPr>
          </w:p>
        </w:tc>
        <w:tc>
          <w:tcPr>
            <w:tcW w:w="2340" w:type="dxa"/>
            <w:shd w:val="clear" w:color="auto" w:fill="auto"/>
            <w:tcMar>
              <w:top w:w="100" w:type="dxa"/>
              <w:left w:w="100" w:type="dxa"/>
              <w:bottom w:w="100" w:type="dxa"/>
              <w:right w:w="100" w:type="dxa"/>
            </w:tcMar>
          </w:tcPr>
          <w:p w14:paraId="7A1AC458" w14:textId="77777777" w:rsidR="003339EA" w:rsidRDefault="003339EA">
            <w:pPr>
              <w:widowControl w:val="0"/>
              <w:spacing w:line="240" w:lineRule="auto"/>
              <w:rPr>
                <w:sz w:val="18"/>
                <w:szCs w:val="18"/>
              </w:rPr>
            </w:pPr>
          </w:p>
        </w:tc>
      </w:tr>
    </w:tbl>
    <w:p w14:paraId="3274D47E" w14:textId="77777777" w:rsidR="003339EA" w:rsidRDefault="003339EA" w:rsidP="00434D4C">
      <w:pPr>
        <w:spacing w:before="200" w:line="240" w:lineRule="auto"/>
      </w:pPr>
    </w:p>
    <w:tbl>
      <w:tblPr>
        <w:tblStyle w:val="a7"/>
        <w:tblW w:w="9160" w:type="dxa"/>
        <w:tblBorders>
          <w:top w:val="nil"/>
          <w:left w:val="nil"/>
          <w:bottom w:val="nil"/>
          <w:right w:val="nil"/>
          <w:insideH w:val="nil"/>
          <w:insideV w:val="nil"/>
        </w:tblBorders>
        <w:tblLayout w:type="fixed"/>
        <w:tblLook w:val="0600" w:firstRow="0" w:lastRow="0" w:firstColumn="0" w:lastColumn="0" w:noHBand="1" w:noVBand="1"/>
      </w:tblPr>
      <w:tblGrid>
        <w:gridCol w:w="5660"/>
        <w:gridCol w:w="3500"/>
      </w:tblGrid>
      <w:tr w:rsidR="003339EA" w14:paraId="534D73C5" w14:textId="77777777">
        <w:trPr>
          <w:trHeight w:val="920"/>
        </w:trPr>
        <w:tc>
          <w:tcPr>
            <w:tcW w:w="5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08C29C" w14:textId="706D1AD6" w:rsidR="003339EA" w:rsidRDefault="00AB2073">
            <w:pPr>
              <w:spacing w:before="240" w:after="240"/>
              <w:ind w:left="100"/>
            </w:pPr>
            <w:r>
              <w:lastRenderedPageBreak/>
              <w:t xml:space="preserve"> </w:t>
            </w:r>
            <w:r w:rsidR="00486545">
              <w:t>Matthew Wells</w:t>
            </w:r>
          </w:p>
        </w:tc>
        <w:tc>
          <w:tcPr>
            <w:tcW w:w="35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61EB689" w14:textId="586FBD82" w:rsidR="003339EA" w:rsidRDefault="00486545">
            <w:pPr>
              <w:spacing w:before="240" w:after="240"/>
              <w:ind w:left="100"/>
            </w:pPr>
            <w:r>
              <w:t>10/1/21</w:t>
            </w:r>
            <w:r w:rsidR="00FB3496">
              <w:t>, Revised 9/20/22</w:t>
            </w:r>
          </w:p>
        </w:tc>
      </w:tr>
      <w:tr w:rsidR="003339EA" w14:paraId="1B2C54C2" w14:textId="77777777">
        <w:trPr>
          <w:trHeight w:val="500"/>
        </w:trPr>
        <w:tc>
          <w:tcPr>
            <w:tcW w:w="5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5F29C7" w14:textId="77777777" w:rsidR="003339EA" w:rsidRDefault="00AB2073">
            <w:pPr>
              <w:spacing w:line="315" w:lineRule="auto"/>
              <w:rPr>
                <w:b/>
                <w:sz w:val="24"/>
                <w:szCs w:val="24"/>
              </w:rPr>
            </w:pPr>
            <w:r>
              <w:rPr>
                <w:b/>
                <w:sz w:val="24"/>
                <w:szCs w:val="24"/>
              </w:rPr>
              <w:t>SUPERINTENDENT NAME (printed) and        SIGNATURE</w:t>
            </w:r>
          </w:p>
        </w:tc>
        <w:tc>
          <w:tcPr>
            <w:tcW w:w="3500" w:type="dxa"/>
            <w:tcBorders>
              <w:top w:val="nil"/>
              <w:left w:val="nil"/>
              <w:bottom w:val="single" w:sz="8" w:space="0" w:color="000000"/>
              <w:right w:val="single" w:sz="8" w:space="0" w:color="000000"/>
            </w:tcBorders>
            <w:tcMar>
              <w:top w:w="100" w:type="dxa"/>
              <w:left w:w="100" w:type="dxa"/>
              <w:bottom w:w="100" w:type="dxa"/>
              <w:right w:w="100" w:type="dxa"/>
            </w:tcMar>
          </w:tcPr>
          <w:p w14:paraId="26D28FA3" w14:textId="77777777" w:rsidR="003339EA" w:rsidRDefault="00AB2073">
            <w:pPr>
              <w:spacing w:line="315" w:lineRule="auto"/>
              <w:ind w:right="1320"/>
              <w:rPr>
                <w:b/>
                <w:sz w:val="24"/>
                <w:szCs w:val="24"/>
              </w:rPr>
            </w:pPr>
            <w:r>
              <w:rPr>
                <w:sz w:val="24"/>
                <w:szCs w:val="24"/>
              </w:rPr>
              <w:t xml:space="preserve">                 </w:t>
            </w:r>
            <w:r>
              <w:rPr>
                <w:b/>
                <w:sz w:val="24"/>
                <w:szCs w:val="24"/>
              </w:rPr>
              <w:t>DATE</w:t>
            </w:r>
          </w:p>
          <w:p w14:paraId="76DD199B" w14:textId="77777777" w:rsidR="003339EA" w:rsidRDefault="003339EA">
            <w:pPr>
              <w:spacing w:line="315" w:lineRule="auto"/>
              <w:ind w:right="1320"/>
              <w:rPr>
                <w:b/>
                <w:sz w:val="24"/>
                <w:szCs w:val="24"/>
              </w:rPr>
            </w:pPr>
          </w:p>
        </w:tc>
      </w:tr>
    </w:tbl>
    <w:p w14:paraId="0EBC5D4A" w14:textId="77777777" w:rsidR="003339EA" w:rsidRDefault="003339EA"/>
    <w:p w14:paraId="6B5385F2" w14:textId="33A48E23" w:rsidR="003339EA" w:rsidRDefault="003339EA" w:rsidP="00434D4C"/>
    <w:sectPr w:rsidR="003339EA">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6969F" w14:textId="77777777" w:rsidR="003B6FDE" w:rsidRDefault="003B6FDE">
      <w:pPr>
        <w:spacing w:line="240" w:lineRule="auto"/>
      </w:pPr>
      <w:r>
        <w:separator/>
      </w:r>
    </w:p>
  </w:endnote>
  <w:endnote w:type="continuationSeparator" w:id="0">
    <w:p w14:paraId="0A8D3F3F" w14:textId="77777777" w:rsidR="003B6FDE" w:rsidRDefault="003B6F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D866A" w14:textId="70DBBF8B" w:rsidR="003339EA" w:rsidRDefault="00AB2073">
    <w:pPr>
      <w:jc w:val="right"/>
    </w:pPr>
    <w:r>
      <w:fldChar w:fldCharType="begin"/>
    </w:r>
    <w:r>
      <w:instrText>PAGE</w:instrText>
    </w:r>
    <w:r>
      <w:fldChar w:fldCharType="separate"/>
    </w:r>
    <w:r w:rsidR="00897FFA">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B9167" w14:textId="77777777" w:rsidR="003B6FDE" w:rsidRDefault="003B6FDE">
      <w:pPr>
        <w:spacing w:line="240" w:lineRule="auto"/>
      </w:pPr>
      <w:r>
        <w:separator/>
      </w:r>
    </w:p>
  </w:footnote>
  <w:footnote w:type="continuationSeparator" w:id="0">
    <w:p w14:paraId="53F20857" w14:textId="77777777" w:rsidR="003B6FDE" w:rsidRDefault="003B6F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C33D8"/>
    <w:multiLevelType w:val="multilevel"/>
    <w:tmpl w:val="5300BA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3543E4F"/>
    <w:multiLevelType w:val="multilevel"/>
    <w:tmpl w:val="3F7C09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99E6AA2"/>
    <w:multiLevelType w:val="multilevel"/>
    <w:tmpl w:val="1EF27C2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52C22ED7"/>
    <w:multiLevelType w:val="multilevel"/>
    <w:tmpl w:val="7312D3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9380F5B"/>
    <w:multiLevelType w:val="multilevel"/>
    <w:tmpl w:val="AE349E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8C618D3"/>
    <w:multiLevelType w:val="hybridMultilevel"/>
    <w:tmpl w:val="1EF4C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5727069">
    <w:abstractNumId w:val="4"/>
  </w:num>
  <w:num w:numId="2" w16cid:durableId="1724210082">
    <w:abstractNumId w:val="0"/>
  </w:num>
  <w:num w:numId="3" w16cid:durableId="692413559">
    <w:abstractNumId w:val="2"/>
  </w:num>
  <w:num w:numId="4" w16cid:durableId="128716509">
    <w:abstractNumId w:val="3"/>
  </w:num>
  <w:num w:numId="5" w16cid:durableId="2023701895">
    <w:abstractNumId w:val="1"/>
  </w:num>
  <w:num w:numId="6" w16cid:durableId="5734695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9EA"/>
    <w:rsid w:val="00117F8F"/>
    <w:rsid w:val="00161E1D"/>
    <w:rsid w:val="001D0671"/>
    <w:rsid w:val="002B7074"/>
    <w:rsid w:val="00304F14"/>
    <w:rsid w:val="003339EA"/>
    <w:rsid w:val="003B6FDE"/>
    <w:rsid w:val="003C0CD8"/>
    <w:rsid w:val="00404557"/>
    <w:rsid w:val="00434D4C"/>
    <w:rsid w:val="00486545"/>
    <w:rsid w:val="006A0E78"/>
    <w:rsid w:val="00834939"/>
    <w:rsid w:val="00897FFA"/>
    <w:rsid w:val="00AB2073"/>
    <w:rsid w:val="00AC32E8"/>
    <w:rsid w:val="00C47FBC"/>
    <w:rsid w:val="00FB3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3363C"/>
  <w15:docId w15:val="{920A6714-793F-8149-8792-E9E3AC94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161E1D"/>
    <w:rPr>
      <w:color w:val="0000FF" w:themeColor="hyperlink"/>
      <w:u w:val="single"/>
    </w:rPr>
  </w:style>
  <w:style w:type="character" w:styleId="FollowedHyperlink">
    <w:name w:val="FollowedHyperlink"/>
    <w:basedOn w:val="DefaultParagraphFont"/>
    <w:uiPriority w:val="99"/>
    <w:semiHidden/>
    <w:unhideWhenUsed/>
    <w:rsid w:val="00161E1D"/>
    <w:rPr>
      <w:color w:val="800080" w:themeColor="followedHyperlink"/>
      <w:u w:val="single"/>
    </w:rPr>
  </w:style>
  <w:style w:type="paragraph" w:styleId="ListParagraph">
    <w:name w:val="List Paragraph"/>
    <w:basedOn w:val="Normal"/>
    <w:uiPriority w:val="34"/>
    <w:qFormat/>
    <w:rsid w:val="00117F8F"/>
    <w:pPr>
      <w:spacing w:after="160" w:line="259" w:lineRule="auto"/>
      <w:ind w:left="720"/>
      <w:contextualSpacing/>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ese.ade.arkansas.gov/Files/Using_Evidence_to_Impact_Student_Outcomes_rv_5_21_21_20210521171532.pdf" TargetMode="External"/><Relationship Id="rId3" Type="http://schemas.openxmlformats.org/officeDocument/2006/relationships/settings" Target="settings.xml"/><Relationship Id="rId7" Type="http://schemas.openxmlformats.org/officeDocument/2006/relationships/hyperlink" Target="https://dese.ade.arkansas.gov/Files/Using_Evidence_to_Impact_Student_Outcomes_rv_5_21_21_2021052117153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1691</Words>
  <Characters>9643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Tiffani Grayer (ADE)</dc:creator>
  <cp:lastModifiedBy>Mathew Wells</cp:lastModifiedBy>
  <cp:revision>2</cp:revision>
  <cp:lastPrinted>2021-10-01T13:26:00Z</cp:lastPrinted>
  <dcterms:created xsi:type="dcterms:W3CDTF">2022-09-20T15:10:00Z</dcterms:created>
  <dcterms:modified xsi:type="dcterms:W3CDTF">2022-09-20T15:10:00Z</dcterms:modified>
</cp:coreProperties>
</file>